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4555C">
      <w:pPr>
        <w:pStyle w:val="280"/>
        <w:ind w:firstLine="0"/>
        <w:rPr>
          <w:rFonts w:ascii="Times New Roman" w:hAnsi="Times New Roman" w:eastAsia="黑体"/>
          <w:b/>
          <w:bCs/>
          <w:color w:val="auto"/>
          <w:sz w:val="84"/>
          <w:highlight w:val="none"/>
        </w:rPr>
      </w:pPr>
    </w:p>
    <w:p w14:paraId="2F2E705D">
      <w:pPr>
        <w:pStyle w:val="280"/>
        <w:ind w:firstLine="0"/>
        <w:jc w:val="center"/>
        <w:rPr>
          <w:rFonts w:ascii="Times New Roman" w:hAnsi="Times New Roman" w:eastAsia="黑体"/>
          <w:b/>
          <w:bCs/>
          <w:color w:val="auto"/>
          <w:sz w:val="84"/>
          <w:highlight w:val="none"/>
        </w:rPr>
      </w:pPr>
      <w:r>
        <w:rPr>
          <w:rFonts w:hint="eastAsia" w:ascii="Times New Roman" w:hAnsi="Times New Roman" w:eastAsia="黑体"/>
          <w:b/>
          <w:bCs/>
          <w:color w:val="auto"/>
          <w:sz w:val="84"/>
          <w:highlight w:val="none"/>
        </w:rPr>
        <w:t>招　标　文　件</w:t>
      </w:r>
    </w:p>
    <w:p w14:paraId="7FD37A74">
      <w:pPr>
        <w:pStyle w:val="280"/>
        <w:ind w:firstLine="0"/>
        <w:jc w:val="center"/>
        <w:rPr>
          <w:rFonts w:ascii="Times New Roman" w:hAnsi="Times New Roman" w:eastAsia="黑体"/>
          <w:b/>
          <w:bCs/>
          <w:color w:val="auto"/>
          <w:sz w:val="84"/>
          <w:highlight w:val="none"/>
        </w:rPr>
      </w:pPr>
    </w:p>
    <w:p w14:paraId="655E1FD5">
      <w:pPr>
        <w:pStyle w:val="280"/>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Times New Roman" w:hAnsi="Times New Roman" w:eastAsia="宋体"/>
          <w:color w:val="auto"/>
          <w:sz w:val="32"/>
          <w:highlight w:val="none"/>
          <w:lang w:eastAsia="zh-CN"/>
        </w:rPr>
      </w:pPr>
      <w:r>
        <w:rPr>
          <w:rFonts w:hint="eastAsia" w:ascii="Times New Roman" w:hAnsi="Times New Roman"/>
          <w:b/>
          <w:bCs/>
          <w:color w:val="auto"/>
          <w:sz w:val="32"/>
          <w:highlight w:val="none"/>
        </w:rPr>
        <w:t>项目名称：</w:t>
      </w:r>
      <w:r>
        <w:rPr>
          <w:rFonts w:hint="eastAsia" w:ascii="Times New Roman" w:hAnsi="Times New Roman"/>
          <w:color w:val="auto"/>
          <w:sz w:val="32"/>
          <w:highlight w:val="none"/>
          <w:lang w:eastAsia="zh-CN"/>
        </w:rPr>
        <w:t>沭阳县2024年非项目化等新增耕地质量等级评定项目</w:t>
      </w:r>
    </w:p>
    <w:tbl>
      <w:tblPr>
        <w:tblStyle w:val="29"/>
        <w:tblW w:w="207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0770"/>
      </w:tblGrid>
      <w:tr w14:paraId="18E87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240" w:type="dxa"/>
              <w:left w:w="360" w:type="dxa"/>
              <w:bottom w:w="240" w:type="dxa"/>
              <w:right w:w="360" w:type="dxa"/>
            </w:tcMar>
            <w:vAlign w:val="center"/>
          </w:tcPr>
          <w:p w14:paraId="7AFCBFD8">
            <w:pPr>
              <w:keepNext w:val="0"/>
              <w:keepLines w:val="0"/>
              <w:pageBreakBefore w:val="0"/>
              <w:widowControl w:val="0"/>
              <w:kinsoku/>
              <w:wordWrap/>
              <w:overflowPunct/>
              <w:topLinePunct w:val="0"/>
              <w:autoSpaceDE/>
              <w:autoSpaceDN/>
              <w:bidi w:val="0"/>
              <w:adjustRightInd/>
              <w:snapToGrid/>
              <w:spacing w:line="360" w:lineRule="auto"/>
              <w:ind w:firstLine="643"/>
              <w:textAlignment w:val="auto"/>
              <w:rPr>
                <w:rFonts w:ascii="Segoe UI" w:hAnsi="Segoe UI" w:eastAsia="Segoe UI" w:cs="Segoe UI"/>
                <w:i w:val="0"/>
                <w:iCs w:val="0"/>
                <w:caps w:val="0"/>
                <w:color w:val="auto"/>
                <w:spacing w:val="0"/>
                <w:sz w:val="21"/>
                <w:szCs w:val="21"/>
                <w:highlight w:val="none"/>
              </w:rPr>
            </w:pPr>
            <w:r>
              <w:rPr>
                <w:rFonts w:hint="eastAsia"/>
                <w:b/>
                <w:bCs/>
                <w:color w:val="auto"/>
                <w:sz w:val="32"/>
                <w:highlight w:val="none"/>
              </w:rPr>
              <w:t>项目编号：</w:t>
            </w:r>
            <w:r>
              <w:rPr>
                <w:rFonts w:hint="default" w:ascii="Times New Roman" w:hAnsi="Times New Roman" w:eastAsia="宋体" w:cs="Times New Roman"/>
                <w:color w:val="auto"/>
                <w:sz w:val="32"/>
                <w:szCs w:val="24"/>
                <w:highlight w:val="none"/>
                <w:lang w:val="en-US" w:eastAsia="zh-CN" w:bidi="ar-SA"/>
              </w:rPr>
              <w:t>JSZC-321322-XXXX-G2026-0006</w:t>
            </w:r>
          </w:p>
        </w:tc>
      </w:tr>
    </w:tbl>
    <w:p w14:paraId="69033686">
      <w:pPr>
        <w:keepNext w:val="0"/>
        <w:keepLines w:val="0"/>
        <w:pageBreakBefore w:val="0"/>
        <w:widowControl w:val="0"/>
        <w:kinsoku/>
        <w:wordWrap/>
        <w:overflowPunct/>
        <w:topLinePunct w:val="0"/>
        <w:autoSpaceDE/>
        <w:autoSpaceDN/>
        <w:bidi w:val="0"/>
        <w:adjustRightInd/>
        <w:snapToGrid/>
        <w:spacing w:line="360" w:lineRule="auto"/>
        <w:ind w:firstLine="643"/>
        <w:textAlignment w:val="auto"/>
        <w:rPr>
          <w:b/>
          <w:color w:val="auto"/>
          <w:sz w:val="30"/>
          <w:szCs w:val="30"/>
          <w:highlight w:val="none"/>
        </w:rPr>
      </w:pPr>
    </w:p>
    <w:p w14:paraId="0C82F11C">
      <w:pPr>
        <w:keepNext w:val="0"/>
        <w:keepLines w:val="0"/>
        <w:pageBreakBefore w:val="0"/>
        <w:widowControl w:val="0"/>
        <w:kinsoku/>
        <w:wordWrap/>
        <w:overflowPunct/>
        <w:topLinePunct w:val="0"/>
        <w:autoSpaceDE/>
        <w:autoSpaceDN/>
        <w:bidi w:val="0"/>
        <w:adjustRightInd/>
        <w:snapToGrid/>
        <w:spacing w:line="360" w:lineRule="auto"/>
        <w:ind w:left="2100"/>
        <w:textAlignment w:val="auto"/>
        <w:rPr>
          <w:b/>
          <w:color w:val="auto"/>
          <w:sz w:val="30"/>
          <w:szCs w:val="30"/>
          <w:highlight w:val="none"/>
        </w:rPr>
      </w:pPr>
      <w:r>
        <w:rPr>
          <w:rFonts w:hint="eastAsia"/>
          <w:b/>
          <w:color w:val="auto"/>
          <w:sz w:val="30"/>
          <w:szCs w:val="30"/>
          <w:highlight w:val="none"/>
        </w:rPr>
        <w:t>（</w:t>
      </w:r>
      <w:r>
        <w:rPr>
          <w:rFonts w:hint="eastAsia"/>
          <w:b/>
          <w:color w:val="auto"/>
          <w:sz w:val="30"/>
          <w:szCs w:val="30"/>
          <w:highlight w:val="none"/>
          <w:lang w:eastAsia="zh-CN"/>
        </w:rPr>
        <w:t>服务</w:t>
      </w:r>
      <w:r>
        <w:rPr>
          <w:rFonts w:hint="eastAsia"/>
          <w:b/>
          <w:color w:val="auto"/>
          <w:sz w:val="30"/>
          <w:szCs w:val="30"/>
          <w:highlight w:val="none"/>
        </w:rPr>
        <w:t>类项目</w:t>
      </w:r>
      <w:r>
        <w:rPr>
          <w:b/>
          <w:color w:val="auto"/>
          <w:sz w:val="30"/>
          <w:szCs w:val="30"/>
          <w:highlight w:val="none"/>
        </w:rPr>
        <w:t>，</w:t>
      </w:r>
      <w:r>
        <w:rPr>
          <w:rFonts w:hint="eastAsia"/>
          <w:b/>
          <w:color w:val="auto"/>
          <w:sz w:val="30"/>
          <w:szCs w:val="30"/>
          <w:highlight w:val="none"/>
          <w:lang w:eastAsia="zh-CN"/>
        </w:rPr>
        <w:t>非</w:t>
      </w:r>
      <w:r>
        <w:rPr>
          <w:rFonts w:hint="eastAsia"/>
          <w:b/>
          <w:color w:val="auto"/>
          <w:sz w:val="30"/>
          <w:szCs w:val="30"/>
          <w:highlight w:val="none"/>
        </w:rPr>
        <w:t>专门面向中小企业）</w:t>
      </w:r>
    </w:p>
    <w:p w14:paraId="5EA611E4">
      <w:pPr>
        <w:pStyle w:val="280"/>
        <w:spacing w:before="0" w:after="0"/>
        <w:ind w:firstLine="0"/>
        <w:rPr>
          <w:rFonts w:ascii="Times New Roman" w:hAnsi="Times New Roman"/>
          <w:color w:val="auto"/>
          <w:highlight w:val="none"/>
        </w:rPr>
      </w:pPr>
    </w:p>
    <w:p w14:paraId="5166D523">
      <w:pPr>
        <w:pStyle w:val="280"/>
        <w:spacing w:before="0" w:after="0"/>
        <w:ind w:firstLine="0"/>
        <w:rPr>
          <w:rFonts w:ascii="Times New Roman" w:hAnsi="Times New Roman"/>
          <w:color w:val="auto"/>
          <w:highlight w:val="none"/>
        </w:rPr>
      </w:pPr>
    </w:p>
    <w:p w14:paraId="7778CEE8">
      <w:pPr>
        <w:pStyle w:val="280"/>
        <w:spacing w:before="0" w:after="0"/>
        <w:ind w:firstLine="0"/>
        <w:rPr>
          <w:rFonts w:ascii="Times New Roman" w:hAnsi="Times New Roman"/>
          <w:color w:val="auto"/>
          <w:highlight w:val="none"/>
        </w:rPr>
      </w:pPr>
    </w:p>
    <w:p w14:paraId="6F9880CC">
      <w:pPr>
        <w:pStyle w:val="280"/>
        <w:spacing w:before="0" w:after="0"/>
        <w:ind w:firstLine="0"/>
        <w:rPr>
          <w:rFonts w:ascii="Times New Roman" w:hAnsi="Times New Roman"/>
          <w:color w:val="auto"/>
          <w:highlight w:val="none"/>
        </w:rPr>
      </w:pPr>
    </w:p>
    <w:p w14:paraId="2FC18FBE">
      <w:pPr>
        <w:pStyle w:val="280"/>
        <w:spacing w:before="0" w:after="0"/>
        <w:ind w:firstLine="0"/>
        <w:rPr>
          <w:rFonts w:ascii="Times New Roman" w:hAnsi="Times New Roman"/>
          <w:color w:val="auto"/>
          <w:highlight w:val="none"/>
        </w:rPr>
      </w:pPr>
    </w:p>
    <w:p w14:paraId="134E3437">
      <w:pPr>
        <w:pStyle w:val="280"/>
        <w:spacing w:before="0" w:after="0"/>
        <w:ind w:firstLine="0"/>
        <w:rPr>
          <w:rFonts w:ascii="Times New Roman" w:hAnsi="Times New Roman"/>
          <w:color w:val="auto"/>
          <w:highlight w:val="none"/>
        </w:rPr>
      </w:pPr>
    </w:p>
    <w:p w14:paraId="457EA4BA">
      <w:pPr>
        <w:pStyle w:val="280"/>
        <w:spacing w:before="0" w:after="0"/>
        <w:ind w:firstLine="0"/>
        <w:rPr>
          <w:rFonts w:ascii="Times New Roman" w:hAnsi="Times New Roman"/>
          <w:color w:val="auto"/>
          <w:highlight w:val="none"/>
        </w:rPr>
      </w:pPr>
    </w:p>
    <w:p w14:paraId="28E598FC">
      <w:pPr>
        <w:pStyle w:val="280"/>
        <w:spacing w:before="0" w:after="0"/>
        <w:ind w:firstLine="0"/>
        <w:rPr>
          <w:rFonts w:ascii="Times New Roman" w:hAnsi="Times New Roman"/>
          <w:color w:val="auto"/>
          <w:highlight w:val="none"/>
        </w:rPr>
      </w:pPr>
    </w:p>
    <w:p w14:paraId="415B408D">
      <w:pPr>
        <w:pStyle w:val="280"/>
        <w:ind w:firstLine="1690"/>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采购人：</w:t>
      </w:r>
      <w:r>
        <w:rPr>
          <w:rFonts w:hint="eastAsia" w:ascii="Times New Roman" w:hAnsi="Times New Roman"/>
          <w:b/>
          <w:bCs/>
          <w:color w:val="auto"/>
          <w:sz w:val="32"/>
          <w:highlight w:val="none"/>
          <w:u w:val="single"/>
          <w:lang w:eastAsia="zh-CN"/>
        </w:rPr>
        <w:t>沭阳县农业农村局</w:t>
      </w:r>
    </w:p>
    <w:p w14:paraId="6192E63F">
      <w:pPr>
        <w:pStyle w:val="280"/>
        <w:ind w:firstLine="1606"/>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采购代理机构：</w:t>
      </w:r>
      <w:r>
        <w:rPr>
          <w:rFonts w:hint="eastAsia" w:ascii="Times New Roman" w:hAnsi="Times New Roman"/>
          <w:b/>
          <w:bCs/>
          <w:color w:val="auto"/>
          <w:sz w:val="32"/>
          <w:highlight w:val="none"/>
          <w:u w:val="single"/>
          <w:lang w:eastAsia="zh-CN"/>
        </w:rPr>
        <w:t>江苏中煊工程技术咨询有限公司</w:t>
      </w:r>
    </w:p>
    <w:p w14:paraId="06953826">
      <w:pPr>
        <w:pStyle w:val="280"/>
        <w:ind w:firstLine="2570"/>
        <w:jc w:val="both"/>
        <w:rPr>
          <w:rFonts w:ascii="Times New Roman" w:hAnsi="Times New Roman"/>
          <w:b/>
          <w:bCs/>
          <w:color w:val="auto"/>
          <w:sz w:val="32"/>
          <w:highlight w:val="none"/>
        </w:rPr>
      </w:pPr>
      <w:r>
        <w:rPr>
          <w:rFonts w:hint="eastAsia" w:ascii="Times New Roman" w:hAnsi="Times New Roman"/>
          <w:b/>
          <w:bCs/>
          <w:color w:val="auto"/>
          <w:sz w:val="32"/>
          <w:highlight w:val="none"/>
          <w:u w:val="single"/>
        </w:rPr>
        <w:t>202</w:t>
      </w:r>
      <w:r>
        <w:rPr>
          <w:rFonts w:hint="eastAsia" w:ascii="Times New Roman" w:hAnsi="Times New Roman"/>
          <w:b/>
          <w:bCs/>
          <w:color w:val="auto"/>
          <w:sz w:val="32"/>
          <w:highlight w:val="none"/>
          <w:u w:val="single"/>
          <w:lang w:val="en-US" w:eastAsia="zh-CN"/>
        </w:rPr>
        <w:t>6</w:t>
      </w:r>
      <w:r>
        <w:rPr>
          <w:rFonts w:hint="eastAsia" w:ascii="Times New Roman" w:hAnsi="Times New Roman"/>
          <w:b/>
          <w:bCs/>
          <w:color w:val="auto"/>
          <w:sz w:val="32"/>
          <w:highlight w:val="none"/>
        </w:rPr>
        <w:t>年</w:t>
      </w:r>
      <w:r>
        <w:rPr>
          <w:rFonts w:hint="eastAsia" w:ascii="Times New Roman" w:hAnsi="Times New Roman"/>
          <w:b/>
          <w:bCs/>
          <w:color w:val="auto"/>
          <w:sz w:val="32"/>
          <w:highlight w:val="none"/>
          <w:u w:val="single"/>
        </w:rPr>
        <w:t>0</w:t>
      </w:r>
      <w:r>
        <w:rPr>
          <w:rFonts w:hint="eastAsia" w:ascii="Times New Roman" w:hAnsi="Times New Roman"/>
          <w:b/>
          <w:bCs/>
          <w:color w:val="auto"/>
          <w:sz w:val="32"/>
          <w:highlight w:val="none"/>
          <w:u w:val="single"/>
          <w:lang w:val="en-US" w:eastAsia="zh-CN"/>
        </w:rPr>
        <w:t>9</w:t>
      </w:r>
      <w:r>
        <w:rPr>
          <w:rFonts w:hint="eastAsia" w:ascii="Times New Roman" w:hAnsi="Times New Roman"/>
          <w:b/>
          <w:bCs/>
          <w:color w:val="auto"/>
          <w:sz w:val="32"/>
          <w:highlight w:val="none"/>
        </w:rPr>
        <w:t>月</w:t>
      </w:r>
      <w:r>
        <w:rPr>
          <w:rFonts w:hint="eastAsia" w:ascii="Times New Roman" w:hAnsi="Times New Roman"/>
          <w:b/>
          <w:bCs/>
          <w:color w:val="auto"/>
          <w:sz w:val="32"/>
          <w:highlight w:val="none"/>
          <w:u w:val="single"/>
          <w:lang w:val="en-US" w:eastAsia="zh-CN"/>
        </w:rPr>
        <w:t>15</w:t>
      </w:r>
      <w:r>
        <w:rPr>
          <w:rFonts w:hint="eastAsia" w:ascii="Times New Roman" w:hAnsi="Times New Roman"/>
          <w:b/>
          <w:bCs/>
          <w:color w:val="auto"/>
          <w:sz w:val="32"/>
          <w:highlight w:val="none"/>
        </w:rPr>
        <w:t>日</w:t>
      </w:r>
    </w:p>
    <w:p w14:paraId="484CD1EA">
      <w:pPr>
        <w:spacing w:line="480" w:lineRule="auto"/>
        <w:jc w:val="center"/>
        <w:outlineLvl w:val="0"/>
        <w:rPr>
          <w:rFonts w:eastAsia="黑体"/>
          <w:b/>
          <w:color w:val="auto"/>
          <w:sz w:val="44"/>
          <w:highlight w:val="none"/>
        </w:rPr>
      </w:pPr>
      <w:r>
        <w:rPr>
          <w:color w:val="auto"/>
          <w:highlight w:val="none"/>
        </w:rPr>
        <w:br w:type="page" w:clear="all"/>
      </w:r>
      <w:bookmarkStart w:id="0" w:name="_Toc120614210"/>
      <w:bookmarkStart w:id="1" w:name="_Toc20823272"/>
      <w:bookmarkStart w:id="2" w:name="_Toc16938516"/>
      <w:bookmarkStart w:id="3" w:name="_Toc513029200"/>
      <w:bookmarkStart w:id="4" w:name="_Toc523127445"/>
      <w:bookmarkStart w:id="5" w:name="_Toc479757206"/>
      <w:r>
        <w:rPr>
          <w:rFonts w:hint="eastAsia" w:eastAsia="黑体"/>
          <w:b/>
          <w:color w:val="auto"/>
          <w:sz w:val="44"/>
          <w:highlight w:val="none"/>
        </w:rPr>
        <w:t>总  目  录</w:t>
      </w:r>
    </w:p>
    <w:p w14:paraId="1903AD51">
      <w:pPr>
        <w:spacing w:line="480" w:lineRule="auto"/>
        <w:rPr>
          <w:rFonts w:eastAsia="仿宋_GB2312"/>
          <w:b/>
          <w:color w:val="auto"/>
          <w:sz w:val="28"/>
          <w:highlight w:val="none"/>
        </w:rPr>
      </w:pPr>
    </w:p>
    <w:p w14:paraId="29081B07">
      <w:pPr>
        <w:numPr>
          <w:ilvl w:val="0"/>
          <w:numId w:val="4"/>
        </w:numPr>
        <w:spacing w:line="480" w:lineRule="auto"/>
        <w:outlineLvl w:val="0"/>
        <w:rPr>
          <w:rFonts w:eastAsia="黑体"/>
          <w:color w:val="auto"/>
          <w:sz w:val="32"/>
          <w:highlight w:val="none"/>
        </w:rPr>
      </w:pPr>
      <w:r>
        <w:rPr>
          <w:rFonts w:hint="eastAsia" w:eastAsia="黑体"/>
          <w:color w:val="auto"/>
          <w:sz w:val="36"/>
          <w:highlight w:val="none"/>
        </w:rPr>
        <w:t xml:space="preserve">投标邀请…………………………………… </w:t>
      </w:r>
    </w:p>
    <w:p w14:paraId="2CCABBDE">
      <w:pPr>
        <w:numPr>
          <w:ilvl w:val="0"/>
          <w:numId w:val="4"/>
        </w:numPr>
        <w:spacing w:line="480" w:lineRule="auto"/>
        <w:outlineLvl w:val="0"/>
        <w:rPr>
          <w:rFonts w:eastAsia="黑体"/>
          <w:color w:val="auto"/>
          <w:sz w:val="36"/>
          <w:highlight w:val="none"/>
        </w:rPr>
      </w:pPr>
      <w:r>
        <w:rPr>
          <w:rFonts w:hint="eastAsia" w:eastAsia="黑体"/>
          <w:bCs/>
          <w:color w:val="auto"/>
          <w:sz w:val="36"/>
          <w:szCs w:val="36"/>
          <w:highlight w:val="none"/>
        </w:rPr>
        <w:t>投标人须知</w:t>
      </w:r>
      <w:r>
        <w:rPr>
          <w:rFonts w:hint="eastAsia" w:eastAsia="黑体"/>
          <w:color w:val="auto"/>
          <w:sz w:val="36"/>
          <w:szCs w:val="36"/>
          <w:highlight w:val="none"/>
        </w:rPr>
        <w:t>…</w:t>
      </w:r>
      <w:r>
        <w:rPr>
          <w:rFonts w:hint="eastAsia" w:eastAsia="黑体"/>
          <w:color w:val="auto"/>
          <w:sz w:val="36"/>
          <w:highlight w:val="none"/>
        </w:rPr>
        <w:t xml:space="preserve">………………………………  </w:t>
      </w:r>
    </w:p>
    <w:p w14:paraId="72C20E26">
      <w:pPr>
        <w:numPr>
          <w:ilvl w:val="0"/>
          <w:numId w:val="4"/>
        </w:numPr>
        <w:spacing w:line="480" w:lineRule="auto"/>
        <w:outlineLvl w:val="0"/>
        <w:rPr>
          <w:rFonts w:eastAsia="黑体"/>
          <w:color w:val="auto"/>
          <w:sz w:val="36"/>
          <w:highlight w:val="none"/>
        </w:rPr>
      </w:pPr>
      <w:r>
        <w:rPr>
          <w:rFonts w:hint="eastAsia" w:eastAsia="黑体"/>
          <w:color w:val="auto"/>
          <w:sz w:val="36"/>
          <w:highlight w:val="none"/>
        </w:rPr>
        <w:t>合同文本……………………………………</w:t>
      </w:r>
    </w:p>
    <w:p w14:paraId="6B15AAF0">
      <w:pPr>
        <w:numPr>
          <w:ilvl w:val="0"/>
          <w:numId w:val="4"/>
        </w:numPr>
        <w:spacing w:line="480" w:lineRule="auto"/>
        <w:outlineLvl w:val="0"/>
        <w:rPr>
          <w:rFonts w:eastAsia="黑体"/>
          <w:color w:val="auto"/>
          <w:sz w:val="36"/>
          <w:highlight w:val="none"/>
        </w:rPr>
      </w:pPr>
      <w:r>
        <w:rPr>
          <w:rFonts w:hint="eastAsia" w:eastAsia="黑体"/>
          <w:color w:val="auto"/>
          <w:sz w:val="36"/>
          <w:highlight w:val="none"/>
        </w:rPr>
        <w:t>采购需求……………………………………</w:t>
      </w:r>
    </w:p>
    <w:p w14:paraId="659D7912">
      <w:pPr>
        <w:numPr>
          <w:ilvl w:val="0"/>
          <w:numId w:val="4"/>
        </w:numPr>
        <w:spacing w:line="480" w:lineRule="auto"/>
        <w:outlineLvl w:val="0"/>
        <w:rPr>
          <w:rFonts w:eastAsia="黑体"/>
          <w:color w:val="auto"/>
          <w:sz w:val="36"/>
          <w:highlight w:val="none"/>
        </w:rPr>
      </w:pPr>
      <w:r>
        <w:rPr>
          <w:rFonts w:hint="eastAsia" w:eastAsia="黑体"/>
          <w:bCs/>
          <w:color w:val="auto"/>
          <w:sz w:val="36"/>
          <w:szCs w:val="36"/>
          <w:highlight w:val="none"/>
        </w:rPr>
        <w:t>评标方法与评标标准</w:t>
      </w:r>
      <w:r>
        <w:rPr>
          <w:rFonts w:hint="eastAsia" w:eastAsia="黑体"/>
          <w:color w:val="auto"/>
          <w:sz w:val="36"/>
          <w:highlight w:val="none"/>
        </w:rPr>
        <w:t>………………………</w:t>
      </w:r>
    </w:p>
    <w:p w14:paraId="1225583A">
      <w:pPr>
        <w:numPr>
          <w:ilvl w:val="0"/>
          <w:numId w:val="4"/>
        </w:numPr>
        <w:spacing w:line="480" w:lineRule="auto"/>
        <w:outlineLvl w:val="0"/>
        <w:rPr>
          <w:rFonts w:eastAsia="黑体"/>
          <w:color w:val="auto"/>
          <w:sz w:val="36"/>
          <w:highlight w:val="none"/>
        </w:rPr>
      </w:pPr>
      <w:r>
        <w:rPr>
          <w:rFonts w:hint="eastAsia" w:eastAsia="黑体"/>
          <w:color w:val="auto"/>
          <w:sz w:val="36"/>
          <w:highlight w:val="none"/>
        </w:rPr>
        <w:t>投标文件格式………………………………</w:t>
      </w:r>
    </w:p>
    <w:p w14:paraId="1E12BB7C">
      <w:pPr>
        <w:rPr>
          <w:color w:val="auto"/>
          <w:highlight w:val="none"/>
        </w:rPr>
      </w:pPr>
    </w:p>
    <w:p w14:paraId="40CD5575">
      <w:pPr>
        <w:rPr>
          <w:color w:val="auto"/>
          <w:highlight w:val="none"/>
        </w:rPr>
      </w:pPr>
    </w:p>
    <w:p w14:paraId="1519D720">
      <w:pPr>
        <w:rPr>
          <w:color w:val="auto"/>
          <w:highlight w:val="none"/>
        </w:rPr>
      </w:pPr>
    </w:p>
    <w:p w14:paraId="0B9835E2">
      <w:pPr>
        <w:rPr>
          <w:color w:val="auto"/>
          <w:highlight w:val="none"/>
        </w:rPr>
      </w:pPr>
    </w:p>
    <w:p w14:paraId="5CCDFAF9">
      <w:pPr>
        <w:rPr>
          <w:color w:val="auto"/>
          <w:highlight w:val="none"/>
        </w:rPr>
      </w:pPr>
    </w:p>
    <w:p w14:paraId="10C59883">
      <w:pPr>
        <w:rPr>
          <w:color w:val="auto"/>
          <w:highlight w:val="none"/>
        </w:rPr>
      </w:pPr>
    </w:p>
    <w:p w14:paraId="52B5888A">
      <w:pPr>
        <w:rPr>
          <w:color w:val="auto"/>
          <w:highlight w:val="none"/>
        </w:rPr>
      </w:pPr>
    </w:p>
    <w:p w14:paraId="726AF61A">
      <w:pPr>
        <w:rPr>
          <w:color w:val="auto"/>
          <w:highlight w:val="none"/>
        </w:rPr>
      </w:pPr>
    </w:p>
    <w:p w14:paraId="082C113A">
      <w:pPr>
        <w:rPr>
          <w:color w:val="auto"/>
          <w:highlight w:val="none"/>
        </w:rPr>
      </w:pPr>
    </w:p>
    <w:p w14:paraId="0FA5ECF0">
      <w:pPr>
        <w:rPr>
          <w:color w:val="auto"/>
          <w:highlight w:val="none"/>
        </w:rPr>
      </w:pPr>
    </w:p>
    <w:p w14:paraId="0032F52D">
      <w:pPr>
        <w:rPr>
          <w:color w:val="auto"/>
          <w:highlight w:val="none"/>
        </w:rPr>
      </w:pPr>
    </w:p>
    <w:p w14:paraId="69531CB0">
      <w:pPr>
        <w:rPr>
          <w:color w:val="auto"/>
          <w:highlight w:val="none"/>
        </w:rPr>
      </w:pPr>
    </w:p>
    <w:p w14:paraId="3AEC8C7A">
      <w:pPr>
        <w:rPr>
          <w:color w:val="auto"/>
          <w:highlight w:val="none"/>
        </w:rPr>
      </w:pPr>
    </w:p>
    <w:p w14:paraId="7CFAD000">
      <w:pPr>
        <w:rPr>
          <w:color w:val="auto"/>
          <w:highlight w:val="none"/>
        </w:rPr>
      </w:pPr>
    </w:p>
    <w:p w14:paraId="28ABA622">
      <w:pPr>
        <w:rPr>
          <w:color w:val="auto"/>
          <w:highlight w:val="none"/>
        </w:rPr>
      </w:pPr>
    </w:p>
    <w:p w14:paraId="6C5059D7">
      <w:pPr>
        <w:rPr>
          <w:color w:val="auto"/>
          <w:highlight w:val="none"/>
        </w:rPr>
      </w:pPr>
    </w:p>
    <w:p w14:paraId="3DC047AD">
      <w:pPr>
        <w:rPr>
          <w:color w:val="auto"/>
          <w:highlight w:val="none"/>
        </w:rPr>
      </w:pPr>
    </w:p>
    <w:p w14:paraId="002E9027">
      <w:pPr>
        <w:rPr>
          <w:color w:val="auto"/>
          <w:highlight w:val="none"/>
        </w:rPr>
      </w:pPr>
    </w:p>
    <w:p w14:paraId="34CA7AD4">
      <w:pPr>
        <w:rPr>
          <w:color w:val="auto"/>
          <w:highlight w:val="none"/>
        </w:rPr>
      </w:pPr>
    </w:p>
    <w:p w14:paraId="593063B2">
      <w:pPr>
        <w:rPr>
          <w:color w:val="auto"/>
          <w:highlight w:val="none"/>
        </w:rPr>
      </w:pPr>
    </w:p>
    <w:p w14:paraId="3E80E8C1">
      <w:pPr>
        <w:rPr>
          <w:color w:val="auto"/>
          <w:highlight w:val="none"/>
        </w:rPr>
      </w:pPr>
    </w:p>
    <w:p w14:paraId="10714E8F">
      <w:pPr>
        <w:rPr>
          <w:color w:val="auto"/>
          <w:highlight w:val="none"/>
        </w:rPr>
      </w:pPr>
    </w:p>
    <w:p w14:paraId="0DB763FC">
      <w:pPr>
        <w:rPr>
          <w:color w:val="auto"/>
          <w:highlight w:val="none"/>
        </w:rPr>
      </w:pPr>
    </w:p>
    <w:p w14:paraId="7B29486B">
      <w:pPr>
        <w:rPr>
          <w:color w:val="auto"/>
          <w:highlight w:val="none"/>
        </w:rPr>
      </w:pPr>
    </w:p>
    <w:p w14:paraId="685C0289">
      <w:pPr>
        <w:rPr>
          <w:color w:val="auto"/>
          <w:highlight w:val="none"/>
        </w:rPr>
      </w:pPr>
    </w:p>
    <w:p w14:paraId="218B8BD6">
      <w:pPr>
        <w:rPr>
          <w:color w:val="auto"/>
          <w:highlight w:val="none"/>
        </w:rPr>
      </w:pPr>
    </w:p>
    <w:p w14:paraId="39A31BA9">
      <w:pPr>
        <w:rPr>
          <w:color w:val="auto"/>
          <w:highlight w:val="none"/>
        </w:rPr>
      </w:pPr>
    </w:p>
    <w:p w14:paraId="00AB3980">
      <w:pPr>
        <w:rPr>
          <w:color w:val="auto"/>
          <w:highlight w:val="none"/>
        </w:rPr>
      </w:pPr>
    </w:p>
    <w:p w14:paraId="2062D744">
      <w:pPr>
        <w:pStyle w:val="183"/>
        <w:rPr>
          <w:rFonts w:hint="eastAsia" w:ascii="Times New Roman" w:eastAsia="黑体"/>
          <w:color w:val="auto"/>
          <w:sz w:val="44"/>
          <w:szCs w:val="44"/>
          <w:highlight w:val="none"/>
        </w:rPr>
      </w:pPr>
      <w:r>
        <w:rPr>
          <w:rFonts w:hint="eastAsia" w:ascii="Times New Roman" w:eastAsia="黑体"/>
          <w:color w:val="auto"/>
          <w:sz w:val="44"/>
          <w:szCs w:val="44"/>
          <w:highlight w:val="none"/>
        </w:rPr>
        <w:t xml:space="preserve">第一章  </w:t>
      </w:r>
      <w:bookmarkEnd w:id="0"/>
      <w:r>
        <w:rPr>
          <w:rFonts w:hint="eastAsia" w:ascii="Times New Roman" w:eastAsia="黑体"/>
          <w:color w:val="auto"/>
          <w:sz w:val="44"/>
          <w:szCs w:val="44"/>
          <w:highlight w:val="none"/>
        </w:rPr>
        <w:t>投标邀请</w:t>
      </w:r>
    </w:p>
    <w:p w14:paraId="5C828600">
      <w:pPr>
        <w:pStyle w:val="185"/>
        <w:pageBreakBefore w:val="0"/>
        <w:wordWrap/>
        <w:overflowPunct/>
        <w:topLinePunct w:val="0"/>
        <w:bidi w:val="0"/>
        <w:spacing w:before="0" w:after="0" w:line="360" w:lineRule="auto"/>
        <w:ind w:firstLine="643" w:firstLineChars="200"/>
        <w:rPr>
          <w:rFonts w:hint="eastAsia"/>
          <w:color w:val="auto"/>
          <w:highlight w:val="none"/>
        </w:rPr>
      </w:pPr>
      <w:bookmarkStart w:id="6" w:name="_Toc35393790"/>
      <w:bookmarkStart w:id="7" w:name="_Toc38985263"/>
      <w:bookmarkStart w:id="8" w:name="_Toc35393621"/>
      <w:bookmarkStart w:id="9" w:name="_Toc28359002"/>
      <w:bookmarkStart w:id="10" w:name="_Toc28359079"/>
      <w:bookmarkStart w:id="11" w:name="_Hlk24379207"/>
    </w:p>
    <w:p w14:paraId="719596D8">
      <w:pPr>
        <w:spacing w:line="480" w:lineRule="exact"/>
        <w:ind w:firstLine="480"/>
        <w:rPr>
          <w:rFonts w:hint="default" w:ascii="Times New Roman" w:hAnsi="Times New Roman" w:eastAsia="宋体" w:cs="方正仿宋_GBK"/>
          <w:color w:val="auto"/>
          <w:sz w:val="24"/>
          <w:szCs w:val="24"/>
          <w:highlight w:val="none"/>
        </w:rPr>
      </w:pPr>
      <w:r>
        <w:rPr>
          <w:rFonts w:hint="eastAsia" w:ascii="宋体" w:hAnsi="宋体" w:eastAsia="宋体" w:cs="Times New Roman"/>
          <w:color w:val="auto"/>
          <w:sz w:val="24"/>
          <w:szCs w:val="24"/>
          <w:highlight w:val="none"/>
        </w:rPr>
        <w:t>受</w:t>
      </w:r>
      <w:r>
        <w:rPr>
          <w:rFonts w:hint="eastAsia" w:ascii="宋体" w:hAnsi="宋体" w:eastAsia="宋体" w:cs="Times New Roman"/>
          <w:color w:val="auto"/>
          <w:sz w:val="24"/>
          <w:szCs w:val="24"/>
          <w:highlight w:val="none"/>
          <w:u w:val="single"/>
        </w:rPr>
        <w:t>沭阳县</w:t>
      </w:r>
      <w:r>
        <w:rPr>
          <w:rFonts w:hint="eastAsia" w:ascii="宋体" w:hAnsi="宋体" w:eastAsia="宋体" w:cs="Times New Roman"/>
          <w:color w:val="auto"/>
          <w:sz w:val="24"/>
          <w:szCs w:val="24"/>
          <w:highlight w:val="none"/>
          <w:u w:val="single"/>
          <w:lang w:eastAsia="zh-CN"/>
        </w:rPr>
        <w:t>农业农村局</w:t>
      </w:r>
      <w:r>
        <w:rPr>
          <w:rFonts w:hint="eastAsia" w:ascii="宋体" w:hAnsi="宋体" w:eastAsia="宋体" w:cs="Times New Roman"/>
          <w:color w:val="auto"/>
          <w:sz w:val="24"/>
          <w:szCs w:val="24"/>
          <w:highlight w:val="none"/>
        </w:rPr>
        <w:t>的委托，</w:t>
      </w:r>
      <w:r>
        <w:rPr>
          <w:rFonts w:hint="eastAsia" w:ascii="Times New Roman" w:hAnsi="Times New Roman" w:eastAsia="宋体" w:cs="方正仿宋_GBK"/>
          <w:color w:val="auto"/>
          <w:sz w:val="24"/>
          <w:szCs w:val="24"/>
          <w:highlight w:val="none"/>
          <w:u w:val="single"/>
          <w:lang w:eastAsia="zh-CN"/>
        </w:rPr>
        <w:t>江苏中煊工程技术咨询有限公司</w:t>
      </w:r>
      <w:r>
        <w:rPr>
          <w:rFonts w:hint="eastAsia" w:ascii="Times New Roman" w:hAnsi="Times New Roman" w:eastAsia="宋体" w:cs="方正仿宋_GBK"/>
          <w:color w:val="auto"/>
          <w:sz w:val="24"/>
          <w:szCs w:val="24"/>
          <w:highlight w:val="none"/>
          <w:u w:val="single"/>
          <w:lang w:val="en-US" w:eastAsia="zh-CN"/>
        </w:rPr>
        <w:t xml:space="preserve"> </w:t>
      </w:r>
      <w:r>
        <w:rPr>
          <w:rFonts w:hint="eastAsia" w:ascii="Times New Roman" w:hAnsi="Times New Roman" w:eastAsia="宋体" w:cs="方正仿宋_GBK"/>
          <w:color w:val="auto"/>
          <w:sz w:val="24"/>
          <w:szCs w:val="24"/>
          <w:highlight w:val="none"/>
        </w:rPr>
        <w:t>就</w:t>
      </w:r>
      <w:r>
        <w:rPr>
          <w:rFonts w:hint="eastAsia" w:eastAsia="宋体"/>
          <w:color w:val="auto"/>
          <w:sz w:val="24"/>
          <w:szCs w:val="24"/>
          <w:highlight w:val="none"/>
          <w:u w:val="single"/>
          <w:lang w:eastAsia="zh-CN"/>
        </w:rPr>
        <w:t>沭阳县2024年非项目化等新增耕地质量等级评定</w:t>
      </w:r>
      <w:r>
        <w:rPr>
          <w:rFonts w:hint="eastAsia" w:ascii="Times New Roman" w:hAnsi="Times New Roman" w:eastAsia="宋体" w:cs="方正仿宋_GBK"/>
          <w:color w:val="auto"/>
          <w:sz w:val="24"/>
          <w:szCs w:val="24"/>
          <w:highlight w:val="none"/>
          <w:u w:val="single"/>
          <w:lang w:eastAsia="zh-CN"/>
        </w:rPr>
        <w:t>项目</w:t>
      </w:r>
      <w:r>
        <w:rPr>
          <w:rFonts w:hint="eastAsia" w:ascii="Times New Roman" w:hAnsi="Times New Roman" w:eastAsia="宋体" w:cs="方正仿宋_GBK"/>
          <w:color w:val="auto"/>
          <w:sz w:val="24"/>
          <w:szCs w:val="24"/>
          <w:highlight w:val="none"/>
          <w:u w:val="single"/>
        </w:rPr>
        <w:t>（JSZC-321322-XXXX-G2026-0006）进</w:t>
      </w:r>
      <w:r>
        <w:rPr>
          <w:rFonts w:hint="eastAsia" w:ascii="Times New Roman" w:hAnsi="Times New Roman" w:eastAsia="宋体" w:cs="方正仿宋_GBK"/>
          <w:color w:val="auto"/>
          <w:sz w:val="24"/>
          <w:szCs w:val="24"/>
          <w:highlight w:val="none"/>
        </w:rPr>
        <w:t>行公开招标采购，欢迎符合条件的投标人投标。</w:t>
      </w:r>
    </w:p>
    <w:p w14:paraId="15348E78">
      <w:pPr>
        <w:pBdr>
          <w:top w:val="single" w:color="000000" w:sz="4" w:space="1"/>
          <w:left w:val="single" w:color="000000" w:sz="4" w:space="4"/>
          <w:bottom w:val="single" w:color="000000" w:sz="4" w:space="1"/>
          <w:right w:val="single" w:color="000000" w:sz="4" w:space="4"/>
        </w:pBdr>
        <w:spacing w:line="480" w:lineRule="exact"/>
        <w:ind w:firstLine="480"/>
        <w:rPr>
          <w:rFonts w:hint="default" w:ascii="Times New Roman" w:hAnsi="Times New Roman" w:eastAsia="宋体" w:cs="方正仿宋_GBK"/>
          <w:color w:val="auto"/>
          <w:sz w:val="24"/>
          <w:szCs w:val="24"/>
          <w:highlight w:val="none"/>
        </w:rPr>
      </w:pPr>
      <w:r>
        <w:rPr>
          <w:rFonts w:hint="eastAsia" w:ascii="Times New Roman" w:hAnsi="Times New Roman" w:eastAsia="宋体" w:cs="方正仿宋_GBK"/>
          <w:color w:val="auto"/>
          <w:sz w:val="24"/>
          <w:szCs w:val="24"/>
          <w:highlight w:val="none"/>
        </w:rPr>
        <w:t>项目概况</w:t>
      </w:r>
    </w:p>
    <w:p w14:paraId="3C3EA425">
      <w:pPr>
        <w:pBdr>
          <w:top w:val="single" w:color="000000" w:sz="4" w:space="1"/>
          <w:left w:val="single" w:color="000000" w:sz="4" w:space="4"/>
          <w:bottom w:val="single" w:color="000000" w:sz="4" w:space="1"/>
          <w:right w:val="single" w:color="000000" w:sz="4" w:space="4"/>
        </w:pBdr>
        <w:spacing w:line="480" w:lineRule="exact"/>
        <w:ind w:firstLine="480"/>
        <w:rPr>
          <w:rFonts w:hint="eastAsia" w:ascii="方正仿宋_GBK" w:hAnsi="方正仿宋_GBK" w:eastAsia="方正仿宋_GBK" w:cs="方正仿宋_GBK"/>
          <w:color w:val="auto"/>
          <w:sz w:val="24"/>
          <w:szCs w:val="24"/>
          <w:highlight w:val="none"/>
        </w:rPr>
      </w:pPr>
      <w:r>
        <w:rPr>
          <w:rFonts w:hint="eastAsia" w:eastAsia="宋体"/>
          <w:color w:val="auto"/>
          <w:sz w:val="24"/>
          <w:szCs w:val="24"/>
          <w:highlight w:val="none"/>
          <w:u w:val="single"/>
          <w:lang w:eastAsia="zh-CN"/>
        </w:rPr>
        <w:t>沭阳县2024年非项目化等新增耕地质量等级评定项目</w:t>
      </w:r>
      <w:r>
        <w:rPr>
          <w:rFonts w:hint="eastAsia" w:ascii="Times New Roman" w:hAnsi="Times New Roman" w:eastAsia="宋体" w:cs="方正仿宋_GBK"/>
          <w:color w:val="auto"/>
          <w:sz w:val="24"/>
          <w:szCs w:val="24"/>
          <w:highlight w:val="none"/>
        </w:rPr>
        <w:t>招标项目的潜在投标人可在“江苏政府采购网”“</w:t>
      </w:r>
      <w:r>
        <w:rPr>
          <w:rFonts w:hint="eastAsia" w:ascii="Times New Roman" w:hAnsi="Times New Roman" w:eastAsia="宋体" w:cs="方正仿宋_GBK"/>
          <w:color w:val="auto"/>
          <w:sz w:val="24"/>
          <w:szCs w:val="24"/>
          <w:highlight w:val="none"/>
          <w:u w:val="single"/>
        </w:rPr>
        <w:t>宿迁市政府采购网”自行免费</w:t>
      </w:r>
      <w:r>
        <w:rPr>
          <w:rFonts w:hint="eastAsia" w:ascii="Times New Roman" w:hAnsi="Times New Roman" w:eastAsia="宋体" w:cs="方正仿宋_GBK"/>
          <w:color w:val="auto"/>
          <w:sz w:val="24"/>
          <w:szCs w:val="24"/>
          <w:highlight w:val="none"/>
        </w:rPr>
        <w:t>获取招标文件，并于</w:t>
      </w:r>
      <w:r>
        <w:rPr>
          <w:rFonts w:hint="eastAsia" w:ascii="宋体" w:hAnsi="宋体" w:eastAsia="宋体" w:cs="Times New Roman"/>
          <w:color w:val="auto"/>
          <w:sz w:val="24"/>
          <w:szCs w:val="24"/>
          <w:highlight w:val="none"/>
          <w:u w:val="single"/>
        </w:rPr>
        <w:t>2026</w:t>
      </w:r>
      <w:r>
        <w:rPr>
          <w:rFonts w:hint="eastAsia" w:ascii="宋体" w:hAnsi="宋体" w:eastAsia="宋体" w:cs="Times New Roman"/>
          <w:bCs/>
          <w:color w:val="auto"/>
          <w:sz w:val="24"/>
          <w:szCs w:val="24"/>
          <w:highlight w:val="none"/>
          <w:u w:val="single"/>
        </w:rPr>
        <w:t>年</w:t>
      </w:r>
      <w:r>
        <w:rPr>
          <w:rFonts w:hint="eastAsia" w:ascii="宋体" w:hAnsi="宋体" w:cs="Times New Roman"/>
          <w:bCs/>
          <w:color w:val="auto"/>
          <w:sz w:val="24"/>
          <w:szCs w:val="24"/>
          <w:highlight w:val="none"/>
          <w:u w:val="single"/>
          <w:lang w:val="en-US" w:eastAsia="zh-CN"/>
        </w:rPr>
        <w:t>10</w:t>
      </w:r>
      <w:r>
        <w:rPr>
          <w:rFonts w:hint="eastAsia" w:ascii="宋体" w:hAnsi="宋体" w:eastAsia="宋体" w:cs="Times New Roman"/>
          <w:bCs/>
          <w:color w:val="auto"/>
          <w:sz w:val="24"/>
          <w:szCs w:val="24"/>
          <w:highlight w:val="none"/>
          <w:u w:val="single"/>
        </w:rPr>
        <w:t>月</w:t>
      </w:r>
      <w:r>
        <w:rPr>
          <w:rFonts w:hint="eastAsia" w:ascii="宋体" w:hAnsi="宋体" w:cs="Times New Roman"/>
          <w:bCs/>
          <w:color w:val="auto"/>
          <w:sz w:val="24"/>
          <w:szCs w:val="24"/>
          <w:highlight w:val="none"/>
          <w:u w:val="single"/>
          <w:lang w:val="en-US" w:eastAsia="zh-CN"/>
        </w:rPr>
        <w:t>8</w:t>
      </w:r>
      <w:r>
        <w:rPr>
          <w:rFonts w:hint="eastAsia" w:ascii="宋体" w:hAnsi="宋体" w:eastAsia="宋体" w:cs="Times New Roman"/>
          <w:bCs/>
          <w:color w:val="auto"/>
          <w:sz w:val="24"/>
          <w:szCs w:val="24"/>
          <w:highlight w:val="none"/>
          <w:u w:val="single"/>
        </w:rPr>
        <w:t>日9点30分（</w:t>
      </w:r>
      <w:r>
        <w:rPr>
          <w:rFonts w:hint="eastAsia" w:ascii="宋体" w:hAnsi="宋体" w:eastAsia="宋体" w:cs="Times New Roman"/>
          <w:bCs/>
          <w:color w:val="auto"/>
          <w:sz w:val="24"/>
          <w:szCs w:val="24"/>
          <w:highlight w:val="none"/>
        </w:rPr>
        <w:t>北京时间）</w:t>
      </w:r>
      <w:r>
        <w:rPr>
          <w:rFonts w:hint="eastAsia" w:ascii="Times New Roman" w:hAnsi="Times New Roman" w:eastAsia="宋体" w:cs="方正仿宋_GBK"/>
          <w:bCs/>
          <w:color w:val="auto"/>
          <w:sz w:val="24"/>
          <w:szCs w:val="24"/>
          <w:highlight w:val="none"/>
        </w:rPr>
        <w:t>前递交投标文件</w:t>
      </w:r>
      <w:r>
        <w:rPr>
          <w:rFonts w:hint="eastAsia" w:ascii="Times New Roman" w:hAnsi="Times New Roman" w:eastAsia="宋体" w:cs="方正仿宋_GBK"/>
          <w:color w:val="auto"/>
          <w:sz w:val="24"/>
          <w:szCs w:val="24"/>
          <w:highlight w:val="none"/>
        </w:rPr>
        <w:t>。</w:t>
      </w:r>
    </w:p>
    <w:p w14:paraId="60D65E26">
      <w:pPr>
        <w:pStyle w:val="186"/>
        <w:rPr>
          <w:rFonts w:hint="eastAsia"/>
          <w:color w:val="auto"/>
          <w:highlight w:val="none"/>
        </w:rPr>
      </w:pPr>
    </w:p>
    <w:p w14:paraId="3C48B1D9">
      <w:pPr>
        <w:pStyle w:val="185"/>
        <w:pageBreakBefore w:val="0"/>
        <w:wordWrap/>
        <w:overflowPunct/>
        <w:topLinePunct w:val="0"/>
        <w:autoSpaceDE/>
        <w:autoSpaceDN/>
        <w:bidi w:val="0"/>
        <w:spacing w:before="0" w:after="0" w:line="450" w:lineRule="exact"/>
        <w:ind w:firstLine="482" w:firstLineChars="200"/>
        <w:jc w:val="both"/>
        <w:outlineLvl w:val="9"/>
        <w:rPr>
          <w:color w:val="auto"/>
          <w:sz w:val="24"/>
          <w:szCs w:val="24"/>
          <w:highlight w:val="none"/>
        </w:rPr>
      </w:pPr>
      <w:r>
        <w:rPr>
          <w:rFonts w:hint="eastAsia"/>
          <w:color w:val="auto"/>
          <w:sz w:val="24"/>
          <w:szCs w:val="24"/>
          <w:highlight w:val="none"/>
        </w:rPr>
        <w:t>一、项目基本情况</w:t>
      </w:r>
      <w:bookmarkEnd w:id="6"/>
      <w:bookmarkEnd w:id="7"/>
      <w:bookmarkEnd w:id="8"/>
      <w:bookmarkEnd w:id="9"/>
      <w:bookmarkEnd w:id="10"/>
    </w:p>
    <w:p w14:paraId="3857ECE9">
      <w:pPr>
        <w:pageBreakBefore w:val="0"/>
        <w:wordWrap/>
        <w:overflowPunct/>
        <w:topLinePunct w:val="0"/>
        <w:autoSpaceDE/>
        <w:autoSpaceDN/>
        <w:bidi w:val="0"/>
        <w:spacing w:line="430" w:lineRule="exact"/>
        <w:ind w:firstLine="480" w:firstLineChars="200"/>
        <w:jc w:val="both"/>
        <w:outlineLvl w:val="9"/>
        <w:rPr>
          <w:rFonts w:hint="eastAsia"/>
          <w:color w:val="auto"/>
          <w:sz w:val="24"/>
          <w:szCs w:val="24"/>
          <w:highlight w:val="none"/>
          <w:lang w:eastAsia="zh-CN"/>
        </w:rPr>
      </w:pPr>
      <w:r>
        <w:rPr>
          <w:rFonts w:hint="eastAsia"/>
          <w:color w:val="auto"/>
          <w:sz w:val="24"/>
          <w:szCs w:val="24"/>
          <w:highlight w:val="none"/>
          <w:lang w:val="en-US" w:eastAsia="zh-CN"/>
        </w:rPr>
        <w:t>1、项目编号：</w:t>
      </w:r>
      <w:r>
        <w:rPr>
          <w:rFonts w:hint="eastAsia"/>
          <w:color w:val="auto"/>
          <w:sz w:val="24"/>
          <w:szCs w:val="24"/>
          <w:highlight w:val="none"/>
          <w:lang w:eastAsia="zh-CN"/>
        </w:rPr>
        <w:t>JSZC-321322-XXXX-G2026-0006</w:t>
      </w:r>
    </w:p>
    <w:p w14:paraId="5B6C9D26">
      <w:pPr>
        <w:pageBreakBefore w:val="0"/>
        <w:wordWrap/>
        <w:overflowPunct/>
        <w:topLinePunct w:val="0"/>
        <w:autoSpaceDE/>
        <w:autoSpaceDN/>
        <w:bidi w:val="0"/>
        <w:spacing w:line="430" w:lineRule="exact"/>
        <w:ind w:firstLine="480" w:firstLineChars="200"/>
        <w:jc w:val="both"/>
        <w:outlineLvl w:val="9"/>
        <w:rPr>
          <w:rFonts w:hint="eastAsia" w:eastAsia="宋体"/>
          <w:color w:val="auto"/>
          <w:sz w:val="24"/>
          <w:szCs w:val="24"/>
          <w:highlight w:val="none"/>
          <w:lang w:eastAsia="zh-CN"/>
        </w:rPr>
      </w:pPr>
      <w:r>
        <w:rPr>
          <w:rFonts w:hint="eastAsia"/>
          <w:color w:val="auto"/>
          <w:sz w:val="24"/>
          <w:szCs w:val="24"/>
          <w:highlight w:val="none"/>
          <w:lang w:val="en-US" w:eastAsia="zh-CN"/>
        </w:rPr>
        <w:t>2、</w:t>
      </w:r>
      <w:r>
        <w:rPr>
          <w:rFonts w:hint="eastAsia"/>
          <w:color w:val="auto"/>
          <w:sz w:val="24"/>
          <w:szCs w:val="24"/>
          <w:highlight w:val="none"/>
        </w:rPr>
        <w:t>项目名称：</w:t>
      </w:r>
      <w:r>
        <w:rPr>
          <w:rFonts w:hint="eastAsia"/>
          <w:color w:val="auto"/>
          <w:sz w:val="24"/>
          <w:szCs w:val="24"/>
          <w:highlight w:val="none"/>
          <w:lang w:eastAsia="zh-CN"/>
        </w:rPr>
        <w:t>沭阳县2024年非项目化等新增耕地质量等级评定项目</w:t>
      </w:r>
    </w:p>
    <w:bookmarkEnd w:id="11"/>
    <w:p w14:paraId="1078C66B">
      <w:pPr>
        <w:pageBreakBefore w:val="0"/>
        <w:wordWrap/>
        <w:overflowPunct/>
        <w:topLinePunct w:val="0"/>
        <w:autoSpaceDE/>
        <w:autoSpaceDN/>
        <w:bidi w:val="0"/>
        <w:spacing w:line="430" w:lineRule="exact"/>
        <w:ind w:firstLine="480" w:firstLineChars="200"/>
        <w:jc w:val="both"/>
        <w:outlineLvl w:val="9"/>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3、预算金额：706万元。</w:t>
      </w:r>
    </w:p>
    <w:p w14:paraId="5CCAD46C">
      <w:pPr>
        <w:pageBreakBefore w:val="0"/>
        <w:wordWrap/>
        <w:overflowPunct/>
        <w:topLinePunct w:val="0"/>
        <w:autoSpaceDE/>
        <w:autoSpaceDN/>
        <w:bidi w:val="0"/>
        <w:spacing w:line="430" w:lineRule="exact"/>
        <w:ind w:firstLine="480" w:firstLineChars="200"/>
        <w:jc w:val="both"/>
        <w:outlineLvl w:val="9"/>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4、本项目设定最高限价：300元/亩（其中：土壤污染状况调查</w:t>
      </w:r>
      <w:r>
        <w:rPr>
          <w:rFonts w:hint="default" w:ascii="Times New Roman" w:hAnsi="Times New Roman" w:eastAsia="宋体" w:cs="Times New Roman"/>
          <w:color w:val="auto"/>
          <w:sz w:val="24"/>
          <w:szCs w:val="24"/>
          <w:highlight w:val="none"/>
          <w:lang w:val="en-US" w:eastAsia="zh-CN"/>
        </w:rPr>
        <w:t>最高限价</w:t>
      </w:r>
      <w:r>
        <w:rPr>
          <w:rFonts w:hint="eastAsia" w:ascii="Times New Roman" w:hAnsi="Times New Roman" w:eastAsia="宋体" w:cs="Times New Roman"/>
          <w:color w:val="auto"/>
          <w:sz w:val="24"/>
          <w:szCs w:val="24"/>
          <w:highlight w:val="none"/>
          <w:lang w:val="en-US" w:eastAsia="zh-CN"/>
        </w:rPr>
        <w:t>100元/亩，补充耕地质量评定</w:t>
      </w:r>
      <w:r>
        <w:rPr>
          <w:rFonts w:hint="default" w:ascii="Times New Roman" w:hAnsi="Times New Roman" w:eastAsia="宋体" w:cs="Times New Roman"/>
          <w:color w:val="auto"/>
          <w:sz w:val="24"/>
          <w:szCs w:val="24"/>
          <w:highlight w:val="none"/>
          <w:lang w:val="en-US" w:eastAsia="zh-CN"/>
        </w:rPr>
        <w:t>最高限价</w:t>
      </w:r>
      <w:r>
        <w:rPr>
          <w:rFonts w:hint="eastAsia" w:ascii="Times New Roman" w:hAnsi="Times New Roman" w:eastAsia="宋体" w:cs="Times New Roman"/>
          <w:color w:val="auto"/>
          <w:sz w:val="24"/>
          <w:szCs w:val="24"/>
          <w:highlight w:val="none"/>
          <w:lang w:val="en-US" w:eastAsia="zh-CN"/>
        </w:rPr>
        <w:t>200元/亩），高于此限价按无效投标处理。</w:t>
      </w:r>
    </w:p>
    <w:p w14:paraId="6ABFD292">
      <w:pPr>
        <w:spacing w:line="480" w:lineRule="exact"/>
        <w:ind w:firstLine="480"/>
        <w:rPr>
          <w:rFonts w:hint="default" w:ascii="Times New Roman" w:hAnsi="Times New Roman" w:cs="Times New Roman"/>
          <w:color w:val="auto"/>
          <w:kern w:val="2"/>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eastAsia="zh-CN"/>
        </w:rPr>
        <w:t>采购需求（简介）：</w:t>
      </w:r>
      <w:r>
        <w:rPr>
          <w:rFonts w:hint="eastAsia" w:ascii="Times New Roman" w:hAnsi="Times New Roman" w:eastAsia="宋体" w:cs="Times New Roman"/>
          <w:color w:val="auto"/>
          <w:sz w:val="24"/>
          <w:szCs w:val="24"/>
          <w:highlight w:val="none"/>
          <w:lang w:val="en-US" w:eastAsia="zh-CN"/>
        </w:rPr>
        <w:t>为顺利推进我县补充耕地系统备案工作，保障全县经济社会高质量发展用地需求，根据《关于印发&lt;江苏省补充耕地质量验收实施细则&gt;（试行）的通知》（苏农建〔2026〕6号)、《关于印发&lt;江苏省补充耕地质量鉴定技术规程&gt;（试行）的通知》（苏农办建〔2026〕2号)等文件精神，结合沭阳县补充耕地质量评定工作实际，开展污染状况调查和补充耕地质量评定，其中污染状况</w:t>
      </w:r>
      <w:r>
        <w:rPr>
          <w:rFonts w:hint="default" w:ascii="Times New Roman" w:hAnsi="Times New Roman" w:eastAsia="宋体" w:cs="Times New Roman"/>
          <w:color w:val="auto"/>
          <w:sz w:val="24"/>
          <w:szCs w:val="24"/>
          <w:highlight w:val="none"/>
          <w:lang w:eastAsia="zh-CN"/>
        </w:rPr>
        <w:t>调查</w:t>
      </w:r>
      <w:r>
        <w:rPr>
          <w:rFonts w:hint="eastAsia" w:ascii="Times New Roman" w:hAnsi="Times New Roman" w:eastAsia="宋体" w:cs="Times New Roman"/>
          <w:color w:val="auto"/>
          <w:sz w:val="24"/>
          <w:szCs w:val="24"/>
          <w:highlight w:val="none"/>
          <w:lang w:val="en-US" w:eastAsia="zh-CN"/>
        </w:rPr>
        <w:t>面积约10000亩（最终工作量以实际发生为准）</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补充耕地</w:t>
      </w:r>
      <w:r>
        <w:rPr>
          <w:rFonts w:hint="eastAsia" w:ascii="Times New Roman" w:hAnsi="Times New Roman" w:eastAsia="宋体" w:cs="Times New Roman"/>
          <w:color w:val="auto"/>
          <w:sz w:val="24"/>
          <w:szCs w:val="24"/>
          <w:highlight w:val="none"/>
          <w:lang w:val="en-US" w:eastAsia="zh-CN"/>
        </w:rPr>
        <w:t>质量</w:t>
      </w:r>
      <w:r>
        <w:rPr>
          <w:rFonts w:hint="default" w:ascii="Times New Roman" w:hAnsi="Times New Roman" w:eastAsia="宋体" w:cs="Times New Roman"/>
          <w:color w:val="auto"/>
          <w:sz w:val="24"/>
          <w:szCs w:val="24"/>
          <w:highlight w:val="none"/>
          <w:lang w:eastAsia="zh-CN"/>
        </w:rPr>
        <w:t>评定面</w:t>
      </w:r>
      <w:r>
        <w:rPr>
          <w:rFonts w:hint="eastAsia" w:ascii="Times New Roman" w:hAnsi="Times New Roman" w:eastAsia="宋体" w:cs="Times New Roman"/>
          <w:color w:val="auto"/>
          <w:sz w:val="24"/>
          <w:szCs w:val="24"/>
          <w:highlight w:val="none"/>
          <w:lang w:val="en-US" w:eastAsia="zh-CN"/>
        </w:rPr>
        <w:t>积约30300亩（最终工作量以实际发生为准）。</w:t>
      </w:r>
      <w:r>
        <w:rPr>
          <w:rFonts w:hint="eastAsia" w:ascii="宋体" w:hAnsi="宋体" w:eastAsia="宋体" w:cs="宋体"/>
          <w:color w:val="auto"/>
          <w:sz w:val="24"/>
          <w:szCs w:val="24"/>
          <w:highlight w:val="none"/>
        </w:rPr>
        <w:t xml:space="preserve">（详细内容见本招标文件第四章） </w:t>
      </w:r>
    </w:p>
    <w:p w14:paraId="3BB775A0">
      <w:pPr>
        <w:pageBreakBefore w:val="0"/>
        <w:numPr>
          <w:ilvl w:val="0"/>
          <w:numId w:val="0"/>
        </w:numPr>
        <w:wordWrap/>
        <w:overflowPunct/>
        <w:topLinePunct w:val="0"/>
        <w:autoSpaceDE/>
        <w:autoSpaceDN/>
        <w:bidi w:val="0"/>
        <w:spacing w:line="430" w:lineRule="exact"/>
        <w:ind w:firstLine="480" w:firstLineChars="200"/>
        <w:jc w:val="both"/>
        <w:outlineLvl w:val="9"/>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合同履行期限：</w:t>
      </w:r>
      <w:r>
        <w:rPr>
          <w:rFonts w:hint="eastAsia" w:ascii="Times New Roman" w:hAnsi="Times New Roman"/>
          <w:color w:val="auto"/>
          <w:sz w:val="24"/>
          <w:szCs w:val="24"/>
          <w:highlight w:val="none"/>
          <w:lang w:eastAsia="zh-CN"/>
        </w:rPr>
        <w:t>自合同签订之日起至验收通过后，并满足采购人进度要求。</w:t>
      </w:r>
    </w:p>
    <w:p w14:paraId="06455338">
      <w:pPr>
        <w:pageBreakBefore w:val="0"/>
        <w:wordWrap/>
        <w:overflowPunct/>
        <w:topLinePunct w:val="0"/>
        <w:autoSpaceDE/>
        <w:autoSpaceDN/>
        <w:bidi w:val="0"/>
        <w:spacing w:line="430" w:lineRule="exact"/>
        <w:ind w:firstLine="480" w:firstLineChars="200"/>
        <w:jc w:val="both"/>
        <w:outlineLvl w:val="9"/>
        <w:rPr>
          <w:rFonts w:hint="eastAsia"/>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本项目不接受联合体投标。</w:t>
      </w:r>
    </w:p>
    <w:p w14:paraId="5A01F5AA">
      <w:pPr>
        <w:pageBreakBefore w:val="0"/>
        <w:wordWrap/>
        <w:overflowPunct/>
        <w:topLinePunct w:val="0"/>
        <w:autoSpaceDE/>
        <w:autoSpaceDN/>
        <w:bidi w:val="0"/>
        <w:spacing w:line="430" w:lineRule="exact"/>
        <w:ind w:firstLine="480" w:firstLineChars="200"/>
        <w:jc w:val="both"/>
        <w:outlineLvl w:val="9"/>
        <w:rPr>
          <w:rFonts w:hint="eastAsia"/>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本项目采购标的对应的中小企业划分标准所属行业：</w:t>
      </w:r>
      <w:r>
        <w:rPr>
          <w:rFonts w:hint="eastAsia" w:ascii="宋体" w:hAnsi="宋体" w:cs="宋体"/>
          <w:color w:val="auto"/>
          <w:sz w:val="24"/>
          <w:szCs w:val="24"/>
          <w:highlight w:val="none"/>
          <w:u w:val="single"/>
        </w:rPr>
        <w:t>其他未列明行业</w:t>
      </w:r>
      <w:r>
        <w:rPr>
          <w:rFonts w:hint="eastAsia" w:ascii="宋体" w:hAnsi="宋体" w:cs="宋体"/>
          <w:color w:val="auto"/>
          <w:sz w:val="24"/>
          <w:szCs w:val="24"/>
          <w:highlight w:val="none"/>
        </w:rPr>
        <w:t>。</w:t>
      </w:r>
    </w:p>
    <w:p w14:paraId="08A20109">
      <w:pPr>
        <w:pStyle w:val="185"/>
        <w:pageBreakBefore w:val="0"/>
        <w:wordWrap/>
        <w:overflowPunct/>
        <w:topLinePunct w:val="0"/>
        <w:autoSpaceDE/>
        <w:autoSpaceDN/>
        <w:bidi w:val="0"/>
        <w:spacing w:before="0" w:after="0" w:line="430" w:lineRule="exact"/>
        <w:ind w:firstLine="482" w:firstLineChars="200"/>
        <w:jc w:val="both"/>
        <w:outlineLvl w:val="9"/>
        <w:rPr>
          <w:color w:val="auto"/>
          <w:sz w:val="24"/>
          <w:szCs w:val="24"/>
          <w:highlight w:val="none"/>
        </w:rPr>
      </w:pPr>
      <w:bookmarkStart w:id="12" w:name="_Toc35393622"/>
      <w:bookmarkStart w:id="13" w:name="_Toc38985264"/>
      <w:bookmarkStart w:id="14" w:name="_Toc35393791"/>
      <w:bookmarkStart w:id="15" w:name="_Toc28359080"/>
      <w:bookmarkStart w:id="16" w:name="_Toc28359003"/>
      <w:r>
        <w:rPr>
          <w:rFonts w:hint="eastAsia"/>
          <w:color w:val="auto"/>
          <w:sz w:val="24"/>
          <w:szCs w:val="24"/>
          <w:highlight w:val="none"/>
        </w:rPr>
        <w:t>二、申请人的资格要求：</w:t>
      </w:r>
      <w:bookmarkEnd w:id="12"/>
      <w:bookmarkEnd w:id="13"/>
      <w:bookmarkEnd w:id="14"/>
      <w:bookmarkEnd w:id="15"/>
      <w:bookmarkEnd w:id="16"/>
      <w:bookmarkStart w:id="17" w:name="_Toc28359004"/>
      <w:bookmarkStart w:id="18" w:name="_Toc38985265"/>
      <w:bookmarkStart w:id="19" w:name="_Toc28359081"/>
      <w:bookmarkStart w:id="20" w:name="_Toc35393792"/>
      <w:bookmarkStart w:id="21" w:name="_Toc35393623"/>
    </w:p>
    <w:p w14:paraId="3AEB72BC">
      <w:pPr>
        <w:pStyle w:val="185"/>
        <w:pageBreakBefore w:val="0"/>
        <w:wordWrap/>
        <w:overflowPunct/>
        <w:topLinePunct w:val="0"/>
        <w:autoSpaceDE/>
        <w:autoSpaceDN/>
        <w:bidi w:val="0"/>
        <w:spacing w:before="0" w:after="0" w:line="430" w:lineRule="exact"/>
        <w:ind w:firstLine="482" w:firstLineChars="200"/>
        <w:jc w:val="both"/>
        <w:outlineLvl w:val="9"/>
        <w:rPr>
          <w:color w:val="auto"/>
          <w:sz w:val="24"/>
          <w:szCs w:val="24"/>
          <w:highlight w:val="none"/>
        </w:rPr>
      </w:pPr>
      <w:r>
        <w:rPr>
          <w:rFonts w:hint="eastAsia"/>
          <w:color w:val="auto"/>
          <w:sz w:val="24"/>
          <w:szCs w:val="24"/>
          <w:highlight w:val="none"/>
        </w:rPr>
        <w:t>（一</w:t>
      </w:r>
      <w:r>
        <w:rPr>
          <w:color w:val="auto"/>
          <w:sz w:val="24"/>
          <w:szCs w:val="24"/>
          <w:highlight w:val="none"/>
        </w:rPr>
        <w:t>）</w:t>
      </w:r>
      <w:r>
        <w:rPr>
          <w:rFonts w:hint="eastAsia"/>
          <w:color w:val="auto"/>
          <w:sz w:val="24"/>
          <w:szCs w:val="24"/>
          <w:highlight w:val="none"/>
        </w:rPr>
        <w:t>通用</w:t>
      </w:r>
      <w:r>
        <w:rPr>
          <w:color w:val="auto"/>
          <w:sz w:val="24"/>
          <w:szCs w:val="24"/>
          <w:highlight w:val="none"/>
        </w:rPr>
        <w:t>资格要求</w:t>
      </w:r>
    </w:p>
    <w:p w14:paraId="0E87140B">
      <w:pPr>
        <w:pageBreakBefore w:val="0"/>
        <w:wordWrap/>
        <w:overflowPunct/>
        <w:topLinePunct w:val="0"/>
        <w:autoSpaceDE/>
        <w:autoSpaceDN/>
        <w:bidi w:val="0"/>
        <w:spacing w:line="430" w:lineRule="exact"/>
        <w:ind w:firstLine="480" w:firstLineChars="200"/>
        <w:jc w:val="both"/>
        <w:outlineLvl w:val="9"/>
        <w:rPr>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具备《中华人民共和国政府采购法》第二十二条第一款规定的6项条件（按要求提供投标声明及承诺函）。</w:t>
      </w:r>
    </w:p>
    <w:p w14:paraId="4882F9E3">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lang w:eastAsia="zh-CN"/>
        </w:rPr>
      </w:pPr>
      <w:r>
        <w:rPr>
          <w:rFonts w:hint="eastAsia"/>
          <w:color w:val="auto"/>
          <w:sz w:val="24"/>
          <w:szCs w:val="24"/>
          <w:highlight w:val="none"/>
          <w:lang w:val="en-US" w:eastAsia="zh-CN"/>
        </w:rPr>
        <w:t>2、</w:t>
      </w:r>
      <w:r>
        <w:rPr>
          <w:rFonts w:hint="eastAsia" w:ascii="宋体" w:hAnsi="宋体" w:eastAsia="宋体" w:cs="宋体"/>
          <w:color w:val="auto"/>
          <w:sz w:val="24"/>
          <w:szCs w:val="24"/>
          <w:highlight w:val="none"/>
        </w:rPr>
        <w:t>信用信息。信用信息查询渠道：“信用中国”网（www.creditchina.gov.cn）、“中国政府采购”网（www.ccgp.gov.cn）</w:t>
      </w:r>
      <w:r>
        <w:rPr>
          <w:rFonts w:hint="eastAsia" w:ascii="宋体" w:hAnsi="宋体" w:cs="宋体"/>
          <w:color w:val="auto"/>
          <w:sz w:val="24"/>
          <w:szCs w:val="24"/>
          <w:highlight w:val="none"/>
          <w:lang w:eastAsia="zh-CN"/>
        </w:rPr>
        <w:t>、</w:t>
      </w:r>
      <w:r>
        <w:rPr>
          <w:rFonts w:hint="eastAsia" w:ascii="宋体" w:hAnsi="宋体" w:eastAsia="宋体" w:cs="宋体"/>
          <w:i w:val="0"/>
          <w:iCs w:val="0"/>
          <w:caps w:val="0"/>
          <w:color w:val="auto"/>
          <w:spacing w:val="0"/>
          <w:sz w:val="21"/>
          <w:szCs w:val="21"/>
          <w:highlight w:val="none"/>
          <w:shd w:val="clear" w:fill="FFFFFF"/>
        </w:rPr>
        <w:t>江苏政府采购网（</w:t>
      </w:r>
      <w:r>
        <w:rPr>
          <w:rFonts w:hint="default" w:ascii="Times New Roman" w:hAnsi="Times New Roman" w:eastAsia="宋体" w:cs="Times New Roman"/>
          <w:i w:val="0"/>
          <w:iCs w:val="0"/>
          <w:caps w:val="0"/>
          <w:color w:val="auto"/>
          <w:spacing w:val="0"/>
          <w:sz w:val="21"/>
          <w:szCs w:val="21"/>
          <w:highlight w:val="none"/>
          <w:shd w:val="clear" w:fill="FFFFFF"/>
        </w:rPr>
        <w:t>www.ccgp-jiangsu.gov.cn</w:t>
      </w:r>
      <w:r>
        <w:rPr>
          <w:rFonts w:hint="eastAsia" w:ascii="宋体" w:hAnsi="宋体" w:eastAsia="宋体" w:cs="宋体"/>
          <w:i w:val="0"/>
          <w:iCs w:val="0"/>
          <w:caps w:val="0"/>
          <w:color w:val="auto"/>
          <w:spacing w:val="0"/>
          <w:sz w:val="21"/>
          <w:szCs w:val="21"/>
          <w:highlight w:val="none"/>
          <w:shd w:val="clear" w:fill="FFFFFF"/>
        </w:rPr>
        <w:t>）。</w:t>
      </w:r>
    </w:p>
    <w:p w14:paraId="71D8EC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outlineLvl w:val="9"/>
        <w:rPr>
          <w:color w:val="auto"/>
          <w:sz w:val="24"/>
          <w:szCs w:val="24"/>
          <w:highlight w:val="none"/>
        </w:rPr>
      </w:pPr>
      <w:r>
        <w:rPr>
          <w:rFonts w:hint="eastAsia" w:ascii="宋体" w:hAnsi="宋体" w:eastAsia="宋体" w:cs="宋体"/>
          <w:color w:val="auto"/>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27C0FA3A">
      <w:pPr>
        <w:spacing w:line="480" w:lineRule="exact"/>
        <w:ind w:firstLine="480"/>
        <w:rPr>
          <w:rFonts w:hint="eastAsia" w:ascii="宋体" w:hAnsi="宋体" w:eastAsia="宋体" w:cs="宋体"/>
          <w:b/>
          <w:bCs/>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落实政府采购政策需满足的资格要求：</w:t>
      </w:r>
      <w:r>
        <w:rPr>
          <w:rFonts w:hint="eastAsia" w:ascii="宋体" w:hAnsi="宋体" w:cs="宋体"/>
          <w:color w:val="auto"/>
          <w:sz w:val="24"/>
          <w:szCs w:val="24"/>
          <w:highlight w:val="none"/>
        </w:rPr>
        <w:t>投标人提供的货物、工程或者服务符合规定情形的，对小微企业报价给予扣除（扣除比例详见“第五章”-“政府采购政策功能落实规定”），用扣除后的价格参加评审。</w:t>
      </w:r>
    </w:p>
    <w:p w14:paraId="62F7A9A6">
      <w:pPr>
        <w:pageBreakBefore w:val="0"/>
        <w:wordWrap/>
        <w:overflowPunct/>
        <w:topLinePunct w:val="0"/>
        <w:autoSpaceDE/>
        <w:autoSpaceDN/>
        <w:bidi w:val="0"/>
        <w:spacing w:line="430" w:lineRule="exact"/>
        <w:ind w:firstLine="480" w:firstLineChars="200"/>
        <w:jc w:val="both"/>
        <w:outlineLvl w:val="9"/>
        <w:rPr>
          <w:rFonts w:hint="eastAsia"/>
          <w:color w:val="auto"/>
          <w:sz w:val="24"/>
          <w:szCs w:val="24"/>
          <w:highlight w:val="none"/>
          <w:lang w:eastAsia="zh-CN"/>
        </w:rPr>
      </w:pPr>
      <w:r>
        <w:rPr>
          <w:rFonts w:hint="eastAsia"/>
          <w:color w:val="auto"/>
          <w:sz w:val="24"/>
          <w:szCs w:val="24"/>
          <w:highlight w:val="none"/>
        </w:rPr>
        <w:t>（二）本项目的特定资格要求</w:t>
      </w:r>
      <w:r>
        <w:rPr>
          <w:rFonts w:hint="eastAsia"/>
          <w:color w:val="auto"/>
          <w:sz w:val="24"/>
          <w:szCs w:val="24"/>
          <w:highlight w:val="none"/>
          <w:lang w:eastAsia="zh-CN"/>
        </w:rPr>
        <w:t>：无</w:t>
      </w:r>
    </w:p>
    <w:p w14:paraId="1347DEAF">
      <w:pPr>
        <w:pStyle w:val="185"/>
        <w:pageBreakBefore w:val="0"/>
        <w:wordWrap/>
        <w:overflowPunct/>
        <w:topLinePunct w:val="0"/>
        <w:autoSpaceDE/>
        <w:autoSpaceDN/>
        <w:bidi w:val="0"/>
        <w:spacing w:before="0" w:after="0" w:line="430" w:lineRule="exact"/>
        <w:ind w:firstLine="482" w:firstLineChars="200"/>
        <w:jc w:val="both"/>
        <w:outlineLvl w:val="9"/>
        <w:rPr>
          <w:color w:val="auto"/>
          <w:sz w:val="24"/>
          <w:szCs w:val="24"/>
          <w:highlight w:val="none"/>
        </w:rPr>
      </w:pPr>
      <w:r>
        <w:rPr>
          <w:rFonts w:hint="eastAsia"/>
          <w:color w:val="auto"/>
          <w:sz w:val="24"/>
          <w:szCs w:val="24"/>
          <w:highlight w:val="none"/>
        </w:rPr>
        <w:t>三、获取招标文件</w:t>
      </w:r>
      <w:bookmarkEnd w:id="17"/>
      <w:bookmarkEnd w:id="18"/>
      <w:bookmarkEnd w:id="19"/>
      <w:bookmarkEnd w:id="20"/>
      <w:bookmarkEnd w:id="21"/>
    </w:p>
    <w:p w14:paraId="24448EC6">
      <w:pPr>
        <w:keepNext w:val="0"/>
        <w:keepLines w:val="0"/>
        <w:pageBreakBefore w:val="0"/>
        <w:widowControl w:val="0"/>
        <w:spacing w:line="360" w:lineRule="auto"/>
        <w:ind w:firstLine="480"/>
        <w:jc w:val="left"/>
        <w:outlineLvl w:val="9"/>
        <w:rPr>
          <w:rFonts w:hint="eastAsia" w:cs="宋体"/>
          <w:color w:val="auto"/>
          <w:sz w:val="24"/>
          <w:szCs w:val="24"/>
          <w:highlight w:val="none"/>
        </w:rPr>
      </w:pPr>
      <w:bookmarkStart w:id="22" w:name="_Toc28359005"/>
      <w:bookmarkStart w:id="23" w:name="_Toc28359082"/>
      <w:bookmarkStart w:id="24" w:name="_Toc38985266"/>
      <w:bookmarkStart w:id="25" w:name="_Toc35393624"/>
      <w:bookmarkStart w:id="26" w:name="_Toc35393793"/>
      <w:r>
        <w:rPr>
          <w:rFonts w:hint="eastAsia" w:cs="宋体"/>
          <w:color w:val="auto"/>
          <w:sz w:val="24"/>
          <w:szCs w:val="24"/>
          <w:highlight w:val="none"/>
        </w:rPr>
        <w:t>1.时间：自招标文件公告发布之日起5个工作日</w:t>
      </w:r>
      <w:r>
        <w:rPr>
          <w:rFonts w:hint="eastAsia" w:ascii="宋体" w:hAnsi="宋体" w:eastAsia="宋体" w:cs="宋体"/>
          <w:color w:val="auto"/>
          <w:sz w:val="24"/>
          <w:szCs w:val="24"/>
          <w:highlight w:val="none"/>
        </w:rPr>
        <w:t>（北京时间，节假日除外）。</w:t>
      </w:r>
    </w:p>
    <w:p w14:paraId="17268041">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cs="宋体"/>
          <w:color w:val="auto"/>
          <w:sz w:val="24"/>
          <w:szCs w:val="24"/>
          <w:highlight w:val="none"/>
        </w:rPr>
        <w:t>2.方式：</w:t>
      </w:r>
      <w:bookmarkStart w:id="27" w:name="EB0c44ff4da61f4af989d119fe214be450"/>
      <w:r>
        <w:rPr>
          <w:rFonts w:hint="eastAsia" w:ascii="宋体" w:hAnsi="宋体" w:eastAsia="宋体" w:cs="宋体"/>
          <w:color w:val="auto"/>
          <w:sz w:val="24"/>
          <w:szCs w:val="24"/>
          <w:highlight w:val="none"/>
        </w:rPr>
        <w:t>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bookmarkEnd w:id="27"/>
    <w:p w14:paraId="630B4C58">
      <w:pPr>
        <w:keepNext w:val="0"/>
        <w:keepLines w:val="0"/>
        <w:pageBreakBefore w:val="0"/>
        <w:widowControl w:val="0"/>
        <w:spacing w:line="360" w:lineRule="auto"/>
        <w:ind w:firstLine="480"/>
        <w:jc w:val="left"/>
        <w:outlineLvl w:val="9"/>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3.本项目共分</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个包。投标人未按要求获取招标文件导致无法投标的，后果自负（其投标文件不予接受）。</w:t>
      </w:r>
    </w:p>
    <w:p w14:paraId="15DAC9AE">
      <w:pPr>
        <w:pStyle w:val="185"/>
        <w:pageBreakBefore w:val="0"/>
        <w:wordWrap/>
        <w:overflowPunct/>
        <w:topLinePunct w:val="0"/>
        <w:autoSpaceDE/>
        <w:autoSpaceDN/>
        <w:bidi w:val="0"/>
        <w:spacing w:before="0" w:after="0" w:line="430" w:lineRule="exact"/>
        <w:ind w:firstLine="482" w:firstLineChars="200"/>
        <w:jc w:val="both"/>
        <w:outlineLvl w:val="9"/>
        <w:rPr>
          <w:color w:val="auto"/>
          <w:sz w:val="24"/>
          <w:szCs w:val="24"/>
          <w:highlight w:val="none"/>
        </w:rPr>
      </w:pPr>
      <w:r>
        <w:rPr>
          <w:rFonts w:hint="eastAsia"/>
          <w:color w:val="auto"/>
          <w:sz w:val="24"/>
          <w:szCs w:val="24"/>
          <w:highlight w:val="none"/>
        </w:rPr>
        <w:t>四、提交投标文件</w:t>
      </w:r>
      <w:bookmarkEnd w:id="22"/>
      <w:bookmarkEnd w:id="23"/>
      <w:r>
        <w:rPr>
          <w:rFonts w:hint="eastAsia"/>
          <w:color w:val="auto"/>
          <w:sz w:val="24"/>
          <w:szCs w:val="24"/>
          <w:highlight w:val="none"/>
        </w:rPr>
        <w:t>截止时间、开标时间和地点</w:t>
      </w:r>
      <w:bookmarkEnd w:id="24"/>
      <w:bookmarkEnd w:id="25"/>
      <w:bookmarkEnd w:id="26"/>
    </w:p>
    <w:p w14:paraId="1A1545CE">
      <w:pPr>
        <w:pageBreakBefore w:val="0"/>
        <w:wordWrap/>
        <w:overflowPunct/>
        <w:topLinePunct w:val="0"/>
        <w:autoSpaceDE/>
        <w:autoSpaceDN/>
        <w:bidi w:val="0"/>
        <w:spacing w:line="430" w:lineRule="exact"/>
        <w:ind w:firstLine="480" w:firstLineChars="200"/>
        <w:jc w:val="both"/>
        <w:outlineLvl w:val="9"/>
        <w:rPr>
          <w:bCs/>
          <w:color w:val="auto"/>
          <w:sz w:val="24"/>
          <w:szCs w:val="24"/>
          <w:highlight w:val="none"/>
          <w:u w:val="single"/>
        </w:rPr>
      </w:pPr>
      <w:r>
        <w:rPr>
          <w:rFonts w:hint="eastAsia"/>
          <w:bCs/>
          <w:color w:val="auto"/>
          <w:sz w:val="24"/>
          <w:szCs w:val="24"/>
          <w:highlight w:val="none"/>
        </w:rPr>
        <w:t>1.</w:t>
      </w:r>
      <w:r>
        <w:rPr>
          <w:rFonts w:hint="eastAsia" w:cs="宋体"/>
          <w:color w:val="auto"/>
          <w:sz w:val="24"/>
          <w:szCs w:val="24"/>
          <w:highlight w:val="none"/>
        </w:rPr>
        <w:t>提交投标文件截止时间、开标时间：</w:t>
      </w:r>
      <w:r>
        <w:rPr>
          <w:rFonts w:hint="eastAsia"/>
          <w:bCs/>
          <w:color w:val="auto"/>
          <w:sz w:val="24"/>
          <w:szCs w:val="24"/>
          <w:highlight w:val="none"/>
          <w:u w:val="single"/>
        </w:rPr>
        <w:t>202</w:t>
      </w:r>
      <w:r>
        <w:rPr>
          <w:rFonts w:hint="eastAsia"/>
          <w:bCs/>
          <w:color w:val="auto"/>
          <w:sz w:val="24"/>
          <w:szCs w:val="24"/>
          <w:highlight w:val="none"/>
          <w:u w:val="single"/>
          <w:lang w:val="en-US" w:eastAsia="zh-CN"/>
        </w:rPr>
        <w:t>6</w:t>
      </w:r>
      <w:r>
        <w:rPr>
          <w:rFonts w:hint="eastAsia"/>
          <w:bCs/>
          <w:color w:val="auto"/>
          <w:sz w:val="24"/>
          <w:szCs w:val="24"/>
          <w:highlight w:val="none"/>
          <w:u w:val="single"/>
        </w:rPr>
        <w:t>年</w:t>
      </w:r>
      <w:r>
        <w:rPr>
          <w:rFonts w:hint="eastAsia"/>
          <w:bCs/>
          <w:color w:val="auto"/>
          <w:sz w:val="24"/>
          <w:szCs w:val="24"/>
          <w:highlight w:val="none"/>
          <w:u w:val="single"/>
          <w:lang w:val="en-US" w:eastAsia="zh-CN"/>
        </w:rPr>
        <w:t>10</w:t>
      </w:r>
      <w:r>
        <w:rPr>
          <w:rFonts w:hint="eastAsia"/>
          <w:bCs/>
          <w:color w:val="auto"/>
          <w:sz w:val="24"/>
          <w:szCs w:val="24"/>
          <w:highlight w:val="none"/>
          <w:u w:val="single"/>
        </w:rPr>
        <w:t>月</w:t>
      </w:r>
      <w:r>
        <w:rPr>
          <w:rFonts w:hint="eastAsia"/>
          <w:bCs/>
          <w:color w:val="auto"/>
          <w:sz w:val="24"/>
          <w:szCs w:val="24"/>
          <w:highlight w:val="none"/>
          <w:u w:val="single"/>
          <w:lang w:val="en-US" w:eastAsia="zh-CN"/>
        </w:rPr>
        <w:t>8</w:t>
      </w:r>
      <w:r>
        <w:rPr>
          <w:rFonts w:hint="eastAsia"/>
          <w:bCs/>
          <w:color w:val="auto"/>
          <w:sz w:val="24"/>
          <w:szCs w:val="24"/>
          <w:highlight w:val="none"/>
          <w:u w:val="single"/>
        </w:rPr>
        <w:t>日09点30分</w:t>
      </w:r>
      <w:r>
        <w:rPr>
          <w:rFonts w:hint="eastAsia"/>
          <w:bCs/>
          <w:color w:val="auto"/>
          <w:sz w:val="24"/>
          <w:szCs w:val="24"/>
          <w:highlight w:val="none"/>
        </w:rPr>
        <w:t>（北京时间）</w:t>
      </w:r>
    </w:p>
    <w:p w14:paraId="72459BDA">
      <w:pPr>
        <w:pageBreakBefore w:val="0"/>
        <w:wordWrap/>
        <w:overflowPunct/>
        <w:topLinePunct w:val="0"/>
        <w:autoSpaceDE/>
        <w:autoSpaceDN/>
        <w:bidi w:val="0"/>
        <w:spacing w:line="430" w:lineRule="exact"/>
        <w:ind w:firstLine="480" w:firstLineChars="200"/>
        <w:jc w:val="both"/>
        <w:outlineLvl w:val="9"/>
        <w:rPr>
          <w:rFonts w:cs="宋体"/>
          <w:color w:val="auto"/>
          <w:sz w:val="24"/>
          <w:szCs w:val="24"/>
          <w:highlight w:val="none"/>
        </w:rPr>
      </w:pPr>
      <w:r>
        <w:rPr>
          <w:rFonts w:hint="eastAsia" w:cs="宋体"/>
          <w:color w:val="auto"/>
          <w:sz w:val="24"/>
          <w:szCs w:val="24"/>
          <w:highlight w:val="none"/>
        </w:rPr>
        <w:t>2.地点：“苏采云”政府采购交易系统网上开标大厅。</w:t>
      </w:r>
    </w:p>
    <w:p w14:paraId="627F833B">
      <w:pPr>
        <w:pStyle w:val="185"/>
        <w:pageBreakBefore w:val="0"/>
        <w:wordWrap/>
        <w:overflowPunct/>
        <w:topLinePunct w:val="0"/>
        <w:autoSpaceDE/>
        <w:autoSpaceDN/>
        <w:bidi w:val="0"/>
        <w:spacing w:before="0" w:after="0" w:line="430" w:lineRule="exact"/>
        <w:ind w:firstLine="482" w:firstLineChars="200"/>
        <w:jc w:val="both"/>
        <w:outlineLvl w:val="9"/>
        <w:rPr>
          <w:color w:val="auto"/>
          <w:sz w:val="24"/>
          <w:szCs w:val="24"/>
          <w:highlight w:val="none"/>
        </w:rPr>
      </w:pPr>
      <w:bookmarkStart w:id="28" w:name="_Toc35393625"/>
      <w:bookmarkStart w:id="29" w:name="_Toc28359084"/>
      <w:bookmarkStart w:id="30" w:name="_Toc35393794"/>
      <w:bookmarkStart w:id="31" w:name="_Toc28359007"/>
      <w:bookmarkStart w:id="32" w:name="_Toc38985267"/>
      <w:r>
        <w:rPr>
          <w:rFonts w:hint="eastAsia"/>
          <w:color w:val="auto"/>
          <w:sz w:val="24"/>
          <w:szCs w:val="24"/>
          <w:highlight w:val="none"/>
        </w:rPr>
        <w:t>五、公告期限</w:t>
      </w:r>
      <w:bookmarkEnd w:id="28"/>
      <w:bookmarkEnd w:id="29"/>
      <w:bookmarkEnd w:id="30"/>
      <w:bookmarkEnd w:id="31"/>
      <w:bookmarkEnd w:id="32"/>
    </w:p>
    <w:p w14:paraId="1AECD1E7">
      <w:pPr>
        <w:keepNext w:val="0"/>
        <w:keepLines w:val="0"/>
        <w:pageBreakBefore w:val="0"/>
        <w:widowControl w:val="0"/>
        <w:spacing w:line="360" w:lineRule="auto"/>
        <w:ind w:firstLine="480"/>
        <w:jc w:val="left"/>
        <w:outlineLvl w:val="9"/>
        <w:rPr>
          <w:rFonts w:cs="宋体"/>
          <w:color w:val="auto"/>
          <w:sz w:val="24"/>
          <w:szCs w:val="24"/>
          <w:highlight w:val="none"/>
        </w:rPr>
      </w:pPr>
      <w:bookmarkStart w:id="33" w:name="_Toc38985268"/>
      <w:bookmarkStart w:id="34" w:name="_Toc35393626"/>
      <w:bookmarkStart w:id="35" w:name="_Toc35393795"/>
      <w:r>
        <w:rPr>
          <w:rFonts w:hint="eastAsia" w:cs="宋体"/>
          <w:color w:val="auto"/>
          <w:sz w:val="24"/>
          <w:szCs w:val="24"/>
          <w:highlight w:val="none"/>
        </w:rPr>
        <w:t>招标公告及招标文件公告期限为自本公告发布之日起5个工作日。</w:t>
      </w:r>
      <w:r>
        <w:rPr>
          <w:rFonts w:hint="eastAsia" w:ascii="宋体" w:hAnsi="宋体" w:eastAsia="宋体" w:cs="宋体"/>
          <w:color w:val="auto"/>
          <w:sz w:val="24"/>
          <w:szCs w:val="24"/>
          <w:highlight w:val="none"/>
        </w:rPr>
        <w:t>招标公告发布媒体：宿迁市政府采购网、宿迁市公共资源交易平台、江苏省财政部门指定的媒体。</w:t>
      </w:r>
    </w:p>
    <w:p w14:paraId="6AFDBFD6">
      <w:pPr>
        <w:pStyle w:val="185"/>
        <w:pageBreakBefore w:val="0"/>
        <w:wordWrap/>
        <w:overflowPunct/>
        <w:topLinePunct w:val="0"/>
        <w:autoSpaceDE/>
        <w:autoSpaceDN/>
        <w:bidi w:val="0"/>
        <w:spacing w:before="0" w:after="0" w:line="430" w:lineRule="exact"/>
        <w:ind w:firstLine="482" w:firstLineChars="200"/>
        <w:jc w:val="both"/>
        <w:outlineLvl w:val="9"/>
        <w:rPr>
          <w:color w:val="auto"/>
          <w:sz w:val="24"/>
          <w:szCs w:val="24"/>
          <w:highlight w:val="none"/>
        </w:rPr>
      </w:pPr>
      <w:r>
        <w:rPr>
          <w:rFonts w:hint="eastAsia"/>
          <w:color w:val="auto"/>
          <w:sz w:val="24"/>
          <w:szCs w:val="24"/>
          <w:highlight w:val="none"/>
        </w:rPr>
        <w:t>六、其他补充事宜</w:t>
      </w:r>
      <w:bookmarkEnd w:id="33"/>
      <w:bookmarkEnd w:id="34"/>
      <w:bookmarkEnd w:id="35"/>
    </w:p>
    <w:p w14:paraId="7233F860">
      <w:pPr>
        <w:pageBreakBefore w:val="0"/>
        <w:wordWrap/>
        <w:overflowPunct/>
        <w:topLinePunct w:val="0"/>
        <w:autoSpaceDE/>
        <w:autoSpaceDN/>
        <w:bidi w:val="0"/>
        <w:spacing w:line="430" w:lineRule="exact"/>
        <w:ind w:firstLine="480" w:firstLineChars="200"/>
        <w:jc w:val="both"/>
        <w:outlineLvl w:val="9"/>
        <w:rPr>
          <w:rFonts w:hint="eastAsia" w:ascii="Times New Roman" w:hAnsi="Times New Roman" w:eastAsia="宋体" w:cs="Times New Roman"/>
          <w:color w:val="auto"/>
          <w:sz w:val="24"/>
          <w:szCs w:val="24"/>
          <w:highlight w:val="none"/>
        </w:rPr>
      </w:pPr>
      <w:bookmarkStart w:id="36" w:name="EB64e1f522fd8c43fcb4d3ba471386b3e7"/>
      <w:bookmarkStart w:id="37" w:name="_Toc35393796"/>
      <w:bookmarkStart w:id="38" w:name="_Toc35393627"/>
      <w:bookmarkStart w:id="39" w:name="_Toc38985269"/>
      <w:bookmarkStart w:id="40" w:name="_Toc28359008"/>
      <w:bookmarkStart w:id="41" w:name="_Toc28359085"/>
      <w:r>
        <w:rPr>
          <w:rFonts w:hint="eastAsia"/>
          <w:color w:val="auto"/>
          <w:sz w:val="24"/>
          <w:szCs w:val="24"/>
          <w:highlight w:val="none"/>
        </w:rPr>
        <w:t>1.</w:t>
      </w:r>
      <w:r>
        <w:rPr>
          <w:rFonts w:hint="eastAsia" w:ascii="Times New Roman" w:hAnsi="Times New Roman" w:eastAsia="宋体" w:cs="Times New Roman"/>
          <w:color w:val="auto"/>
          <w:sz w:val="24"/>
          <w:szCs w:val="24"/>
          <w:highlight w:val="none"/>
        </w:rPr>
        <w:t>财政部门监督电话：0527-83559270。</w:t>
      </w:r>
    </w:p>
    <w:p w14:paraId="45D65D62">
      <w:pPr>
        <w:pageBreakBefore w:val="0"/>
        <w:wordWrap/>
        <w:overflowPunct/>
        <w:topLinePunct w:val="0"/>
        <w:autoSpaceDE/>
        <w:autoSpaceDN/>
        <w:bidi w:val="0"/>
        <w:spacing w:line="430" w:lineRule="exact"/>
        <w:ind w:firstLine="480" w:firstLineChars="200"/>
        <w:jc w:val="both"/>
        <w:outlineLvl w:val="9"/>
        <w:rPr>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.“CA”数字证书办理：“苏采云”系统目前仅支持“苏采云”系统下的意源CA。省内各地区办理的“苏采云”系统下的意源CA全省通用。宿迁地区CA数字证书办理联系方式：</w:t>
      </w:r>
      <w:r>
        <w:rPr>
          <w:rFonts w:hint="eastAsia" w:ascii="宋体" w:hAnsi="宋体" w:cs="宋体"/>
          <w:color w:val="auto"/>
          <w:sz w:val="24"/>
          <w:szCs w:val="24"/>
          <w:highlight w:val="none"/>
        </w:rPr>
        <w:t>15115607509</w:t>
      </w:r>
      <w:r>
        <w:rPr>
          <w:rFonts w:hint="eastAsia"/>
          <w:color w:val="auto"/>
          <w:sz w:val="24"/>
          <w:szCs w:val="24"/>
          <w:highlight w:val="none"/>
        </w:rPr>
        <w:t>。</w:t>
      </w:r>
    </w:p>
    <w:p w14:paraId="79CFFBCB">
      <w:pPr>
        <w:pStyle w:val="267"/>
        <w:pageBreakBefore w:val="0"/>
        <w:wordWrap/>
        <w:overflowPunct/>
        <w:topLinePunct w:val="0"/>
        <w:autoSpaceDE/>
        <w:autoSpaceDN/>
        <w:bidi w:val="0"/>
        <w:spacing w:line="430" w:lineRule="exact"/>
        <w:ind w:firstLine="480" w:firstLineChars="200"/>
        <w:jc w:val="both"/>
        <w:outlineLvl w:val="9"/>
        <w:rPr>
          <w:rFonts w:ascii="Times New Roman" w:hAnsi="Times New Roman" w:eastAsia="宋体" w:cs="Times New Roman"/>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rPr>
        <w:t>宿迁地区“苏采云”技术支持客服电话：0527-84225125、0519-86722806。</w:t>
      </w:r>
    </w:p>
    <w:bookmarkEnd w:id="36"/>
    <w:p w14:paraId="68B3DC64">
      <w:pPr>
        <w:pStyle w:val="267"/>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4.如果投标人通过苏</w:t>
      </w:r>
      <w:r>
        <w:rPr>
          <w:rFonts w:hint="eastAsia" w:ascii="宋体" w:hAnsi="宋体" w:eastAsia="宋体" w:cs="宋体"/>
          <w:color w:val="auto"/>
          <w:sz w:val="24"/>
          <w:szCs w:val="24"/>
          <w:highlight w:val="none"/>
          <w:lang w:val="en-US"/>
        </w:rPr>
        <w:t>采云系统参与政府采购项目，相关操作手册详见链接：</w:t>
      </w:r>
      <w:r>
        <w:rPr>
          <w:rFonts w:hint="eastAsia" w:ascii="宋体" w:hAnsi="宋体" w:eastAsia="宋体" w:cs="宋体"/>
          <w:color w:val="auto"/>
          <w:spacing w:val="-6"/>
          <w:sz w:val="24"/>
          <w:szCs w:val="24"/>
          <w:highlight w:val="none"/>
          <w:lang w:val="en-US"/>
        </w:rPr>
        <w:t>http://www.ccgp-jiangsu.gov.cn/jiangsu/zlxz/ee/ee3a4bc5a3454aa2b0d9312230633ce9.html。</w:t>
      </w:r>
    </w:p>
    <w:p w14:paraId="448497CA">
      <w:pPr>
        <w:keepNext w:val="0"/>
        <w:keepLines w:val="0"/>
        <w:pageBreakBefore w:val="0"/>
        <w:widowControl w:val="0"/>
        <w:spacing w:line="360" w:lineRule="auto"/>
        <w:ind w:firstLine="480"/>
        <w:jc w:val="left"/>
        <w:outlineLvl w:val="9"/>
        <w:rPr>
          <w:rFonts w:cs="仿宋_GB2312"/>
          <w:b/>
          <w:bCs/>
          <w:iCs/>
          <w:color w:val="auto"/>
          <w:sz w:val="24"/>
          <w:szCs w:val="24"/>
          <w:highlight w:val="none"/>
        </w:rPr>
      </w:pPr>
      <w:r>
        <w:rPr>
          <w:rFonts w:hint="eastAsia" w:ascii="宋体" w:hAnsi="宋体" w:eastAsia="宋体" w:cs="宋体"/>
          <w:color w:val="auto"/>
          <w:sz w:val="24"/>
          <w:szCs w:val="24"/>
          <w:highlight w:val="none"/>
        </w:rPr>
        <w:t>5.现场勘察及答疑：本项目不组织集中勘察及答疑，投标人如对采购需求有疑问，请咨询采购单位联系人。</w:t>
      </w:r>
      <w:r>
        <w:rPr>
          <w:rFonts w:hint="eastAsia" w:ascii="宋体" w:hAnsi="宋体" w:eastAsia="宋体" w:cs="宋体"/>
          <w:color w:val="auto"/>
          <w:sz w:val="28"/>
          <w:szCs w:val="28"/>
          <w:highlight w:val="none"/>
        </w:rPr>
        <w:t xml:space="preserve"> </w:t>
      </w:r>
    </w:p>
    <w:p w14:paraId="62C7DA81">
      <w:pPr>
        <w:pStyle w:val="185"/>
        <w:pageBreakBefore w:val="0"/>
        <w:wordWrap/>
        <w:overflowPunct/>
        <w:topLinePunct w:val="0"/>
        <w:autoSpaceDE/>
        <w:autoSpaceDN/>
        <w:bidi w:val="0"/>
        <w:spacing w:before="0" w:after="0" w:line="430" w:lineRule="exact"/>
        <w:ind w:firstLine="482" w:firstLineChars="200"/>
        <w:jc w:val="both"/>
        <w:outlineLvl w:val="9"/>
        <w:rPr>
          <w:color w:val="auto"/>
          <w:sz w:val="24"/>
          <w:szCs w:val="24"/>
          <w:highlight w:val="none"/>
        </w:rPr>
      </w:pPr>
      <w:r>
        <w:rPr>
          <w:rFonts w:hint="eastAsia"/>
          <w:color w:val="auto"/>
          <w:sz w:val="24"/>
          <w:szCs w:val="24"/>
          <w:highlight w:val="none"/>
        </w:rPr>
        <w:t>七、本次招标联系方式</w:t>
      </w:r>
      <w:bookmarkEnd w:id="37"/>
      <w:bookmarkEnd w:id="38"/>
      <w:bookmarkEnd w:id="39"/>
      <w:bookmarkEnd w:id="40"/>
      <w:bookmarkEnd w:id="41"/>
    </w:p>
    <w:p w14:paraId="0D2657CE">
      <w:pPr>
        <w:pageBreakBefore w:val="0"/>
        <w:wordWrap/>
        <w:overflowPunct/>
        <w:topLinePunct w:val="0"/>
        <w:autoSpaceDE/>
        <w:autoSpaceDN/>
        <w:bidi w:val="0"/>
        <w:spacing w:line="430" w:lineRule="exact"/>
        <w:ind w:firstLine="480" w:firstLineChars="200"/>
        <w:jc w:val="both"/>
        <w:outlineLvl w:val="9"/>
        <w:rPr>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采购人信息</w:t>
      </w:r>
    </w:p>
    <w:p w14:paraId="5BFF0A01">
      <w:pPr>
        <w:pageBreakBefore w:val="0"/>
        <w:wordWrap/>
        <w:overflowPunct/>
        <w:topLinePunct w:val="0"/>
        <w:autoSpaceDE/>
        <w:autoSpaceDN/>
        <w:bidi w:val="0"/>
        <w:spacing w:line="430" w:lineRule="exact"/>
        <w:ind w:firstLine="480" w:firstLineChars="200"/>
        <w:jc w:val="both"/>
        <w:outlineLvl w:val="9"/>
        <w:rPr>
          <w:color w:val="auto"/>
          <w:sz w:val="24"/>
          <w:szCs w:val="24"/>
          <w:highlight w:val="none"/>
        </w:rPr>
      </w:pPr>
      <w:r>
        <w:rPr>
          <w:rFonts w:hint="eastAsia"/>
          <w:color w:val="auto"/>
          <w:sz w:val="24"/>
          <w:szCs w:val="24"/>
          <w:highlight w:val="none"/>
        </w:rPr>
        <w:t>名称：沭阳县农业农村局</w:t>
      </w:r>
    </w:p>
    <w:p w14:paraId="5957C902">
      <w:pPr>
        <w:pageBreakBefore w:val="0"/>
        <w:wordWrap/>
        <w:overflowPunct/>
        <w:topLinePunct w:val="0"/>
        <w:autoSpaceDE/>
        <w:autoSpaceDN/>
        <w:bidi w:val="0"/>
        <w:spacing w:line="430" w:lineRule="exact"/>
        <w:ind w:firstLine="480" w:firstLineChars="200"/>
        <w:jc w:val="both"/>
        <w:outlineLvl w:val="9"/>
        <w:rPr>
          <w:color w:val="auto"/>
          <w:sz w:val="24"/>
          <w:szCs w:val="24"/>
          <w:highlight w:val="none"/>
        </w:rPr>
      </w:pPr>
      <w:r>
        <w:rPr>
          <w:rFonts w:hint="eastAsia"/>
          <w:color w:val="auto"/>
          <w:sz w:val="24"/>
          <w:szCs w:val="24"/>
          <w:highlight w:val="none"/>
        </w:rPr>
        <w:t>地址：</w:t>
      </w:r>
      <w:r>
        <w:rPr>
          <w:rFonts w:hint="eastAsia" w:ascii="Times New Roman" w:hAnsi="Times New Roman"/>
          <w:color w:val="auto"/>
          <w:sz w:val="24"/>
          <w:szCs w:val="24"/>
          <w:highlight w:val="none"/>
          <w:lang w:eastAsia="zh-CN"/>
        </w:rPr>
        <w:t xml:space="preserve">沭阳县学院路5号 </w:t>
      </w:r>
    </w:p>
    <w:p w14:paraId="4DF01D08">
      <w:pPr>
        <w:pageBreakBefore w:val="0"/>
        <w:wordWrap/>
        <w:overflowPunct/>
        <w:topLinePunct w:val="0"/>
        <w:autoSpaceDE/>
        <w:autoSpaceDN/>
        <w:bidi w:val="0"/>
        <w:spacing w:line="430" w:lineRule="exact"/>
        <w:ind w:firstLine="480" w:firstLineChars="200"/>
        <w:jc w:val="both"/>
        <w:outlineLvl w:val="9"/>
        <w:rPr>
          <w:rFonts w:hint="eastAsia"/>
          <w:color w:val="auto"/>
          <w:sz w:val="24"/>
          <w:szCs w:val="24"/>
          <w:highlight w:val="none"/>
          <w:lang w:val="en-US" w:eastAsia="zh-CN"/>
        </w:rPr>
      </w:pPr>
      <w:r>
        <w:rPr>
          <w:rFonts w:hint="eastAsia"/>
          <w:color w:val="auto"/>
          <w:sz w:val="24"/>
          <w:szCs w:val="24"/>
          <w:highlight w:val="none"/>
        </w:rPr>
        <w:t>联系</w:t>
      </w:r>
      <w:r>
        <w:rPr>
          <w:rFonts w:hint="eastAsia"/>
          <w:color w:val="auto"/>
          <w:sz w:val="24"/>
          <w:szCs w:val="24"/>
          <w:highlight w:val="none"/>
          <w:lang w:eastAsia="zh-CN"/>
        </w:rPr>
        <w:t>人</w:t>
      </w:r>
      <w:r>
        <w:rPr>
          <w:rFonts w:hint="eastAsia"/>
          <w:color w:val="auto"/>
          <w:sz w:val="24"/>
          <w:szCs w:val="24"/>
          <w:highlight w:val="none"/>
        </w:rPr>
        <w:t>：</w:t>
      </w:r>
      <w:r>
        <w:rPr>
          <w:rFonts w:hint="eastAsia" w:ascii="Times New Roman" w:hAnsi="Times New Roman"/>
          <w:color w:val="auto"/>
          <w:sz w:val="24"/>
          <w:szCs w:val="24"/>
          <w:highlight w:val="none"/>
          <w:lang w:eastAsia="zh-CN"/>
        </w:rPr>
        <w:t>张明</w:t>
      </w:r>
      <w:r>
        <w:rPr>
          <w:rFonts w:hint="eastAsia"/>
          <w:color w:val="auto"/>
          <w:sz w:val="24"/>
          <w:szCs w:val="24"/>
          <w:highlight w:val="none"/>
          <w:lang w:val="en-US" w:eastAsia="zh-CN"/>
        </w:rPr>
        <w:t xml:space="preserve"> </w:t>
      </w:r>
    </w:p>
    <w:p w14:paraId="51FD02BC">
      <w:pPr>
        <w:pageBreakBefore w:val="0"/>
        <w:wordWrap/>
        <w:overflowPunct/>
        <w:topLinePunct w:val="0"/>
        <w:autoSpaceDE/>
        <w:autoSpaceDN/>
        <w:bidi w:val="0"/>
        <w:spacing w:line="430" w:lineRule="exact"/>
        <w:ind w:firstLine="480" w:firstLineChars="200"/>
        <w:jc w:val="both"/>
        <w:outlineLvl w:val="9"/>
        <w:rPr>
          <w:color w:val="auto"/>
          <w:sz w:val="24"/>
          <w:szCs w:val="24"/>
          <w:highlight w:val="none"/>
        </w:rPr>
      </w:pPr>
      <w:r>
        <w:rPr>
          <w:rFonts w:hint="eastAsia" w:ascii="Times New Roman" w:hAnsi="Times New Roman"/>
          <w:color w:val="auto"/>
          <w:sz w:val="24"/>
          <w:szCs w:val="24"/>
          <w:highlight w:val="none"/>
          <w:lang w:eastAsia="zh-CN"/>
        </w:rPr>
        <w:t>联系电话：19952520750</w:t>
      </w:r>
    </w:p>
    <w:p w14:paraId="04D624BF">
      <w:pPr>
        <w:pageBreakBefore w:val="0"/>
        <w:wordWrap/>
        <w:overflowPunct/>
        <w:topLinePunct w:val="0"/>
        <w:autoSpaceDE/>
        <w:autoSpaceDN/>
        <w:bidi w:val="0"/>
        <w:spacing w:line="430" w:lineRule="exact"/>
        <w:ind w:firstLine="480" w:firstLineChars="200"/>
        <w:jc w:val="both"/>
        <w:outlineLvl w:val="9"/>
        <w:rPr>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采购代理机构信息</w:t>
      </w:r>
    </w:p>
    <w:p w14:paraId="52E3B0B6">
      <w:pPr>
        <w:pageBreakBefore w:val="0"/>
        <w:wordWrap/>
        <w:overflowPunct/>
        <w:topLinePunct w:val="0"/>
        <w:autoSpaceDE/>
        <w:autoSpaceDN/>
        <w:bidi w:val="0"/>
        <w:spacing w:line="430" w:lineRule="exact"/>
        <w:ind w:firstLine="480" w:firstLineChars="200"/>
        <w:jc w:val="both"/>
        <w:outlineLvl w:val="9"/>
        <w:rPr>
          <w:rFonts w:hint="eastAsia" w:eastAsia="宋体"/>
          <w:color w:val="auto"/>
          <w:sz w:val="24"/>
          <w:szCs w:val="24"/>
          <w:highlight w:val="none"/>
          <w:lang w:eastAsia="zh-CN"/>
        </w:rPr>
      </w:pPr>
      <w:r>
        <w:rPr>
          <w:rFonts w:hint="eastAsia"/>
          <w:color w:val="auto"/>
          <w:sz w:val="24"/>
          <w:szCs w:val="24"/>
          <w:highlight w:val="none"/>
        </w:rPr>
        <w:t>名称：</w:t>
      </w:r>
      <w:r>
        <w:rPr>
          <w:rFonts w:hint="eastAsia"/>
          <w:color w:val="auto"/>
          <w:sz w:val="24"/>
          <w:szCs w:val="24"/>
          <w:highlight w:val="none"/>
          <w:lang w:eastAsia="zh-CN"/>
        </w:rPr>
        <w:t>江苏中煊工程技术咨询有限公司</w:t>
      </w:r>
    </w:p>
    <w:p w14:paraId="5CB58516">
      <w:pPr>
        <w:pageBreakBefore w:val="0"/>
        <w:wordWrap/>
        <w:overflowPunct/>
        <w:topLinePunct w:val="0"/>
        <w:autoSpaceDE/>
        <w:autoSpaceDN/>
        <w:bidi w:val="0"/>
        <w:spacing w:line="430" w:lineRule="exact"/>
        <w:ind w:firstLine="480" w:firstLineChars="200"/>
        <w:jc w:val="both"/>
        <w:outlineLvl w:val="9"/>
        <w:rPr>
          <w:rFonts w:hint="eastAsia" w:eastAsia="宋体"/>
          <w:color w:val="auto"/>
          <w:sz w:val="24"/>
          <w:szCs w:val="24"/>
          <w:highlight w:val="none"/>
          <w:lang w:eastAsia="zh-CN"/>
        </w:rPr>
      </w:pPr>
      <w:r>
        <w:rPr>
          <w:rFonts w:hint="eastAsia"/>
          <w:color w:val="auto"/>
          <w:sz w:val="24"/>
          <w:szCs w:val="24"/>
          <w:highlight w:val="none"/>
        </w:rPr>
        <w:t>地址：</w:t>
      </w:r>
      <w:r>
        <w:rPr>
          <w:rFonts w:hint="eastAsia" w:ascii="Times New Roman" w:hAnsi="Times New Roman"/>
          <w:color w:val="auto"/>
          <w:sz w:val="24"/>
          <w:szCs w:val="24"/>
          <w:highlight w:val="none"/>
          <w:lang w:eastAsia="zh-CN"/>
        </w:rPr>
        <w:t>沭阳县尚书苑路尚书苑东门北侧</w:t>
      </w:r>
    </w:p>
    <w:p w14:paraId="3B5C7AA6">
      <w:pPr>
        <w:pageBreakBefore w:val="0"/>
        <w:wordWrap/>
        <w:overflowPunct/>
        <w:topLinePunct w:val="0"/>
        <w:autoSpaceDE/>
        <w:autoSpaceDN/>
        <w:bidi w:val="0"/>
        <w:spacing w:line="430" w:lineRule="exact"/>
        <w:ind w:firstLine="480" w:firstLineChars="200"/>
        <w:jc w:val="both"/>
        <w:outlineLvl w:val="9"/>
        <w:rPr>
          <w:rFonts w:hint="eastAsia"/>
          <w:color w:val="auto"/>
          <w:sz w:val="24"/>
          <w:szCs w:val="24"/>
          <w:highlight w:val="none"/>
        </w:rPr>
      </w:pPr>
      <w:r>
        <w:rPr>
          <w:rFonts w:hint="eastAsia"/>
          <w:color w:val="auto"/>
          <w:sz w:val="24"/>
          <w:szCs w:val="24"/>
          <w:highlight w:val="none"/>
        </w:rPr>
        <w:t>联系</w:t>
      </w:r>
      <w:r>
        <w:rPr>
          <w:rFonts w:hint="eastAsia"/>
          <w:color w:val="auto"/>
          <w:sz w:val="24"/>
          <w:szCs w:val="24"/>
          <w:highlight w:val="none"/>
          <w:lang w:eastAsia="zh-CN"/>
        </w:rPr>
        <w:t>人</w:t>
      </w:r>
      <w:r>
        <w:rPr>
          <w:rFonts w:hint="eastAsia"/>
          <w:color w:val="auto"/>
          <w:sz w:val="24"/>
          <w:szCs w:val="24"/>
          <w:highlight w:val="none"/>
        </w:rPr>
        <w:t>：</w:t>
      </w:r>
      <w:r>
        <w:rPr>
          <w:rFonts w:hint="eastAsia"/>
          <w:color w:val="auto"/>
          <w:sz w:val="24"/>
          <w:szCs w:val="24"/>
          <w:highlight w:val="none"/>
          <w:lang w:eastAsia="zh-CN"/>
        </w:rPr>
        <w:t>宋青</w:t>
      </w:r>
    </w:p>
    <w:p w14:paraId="2C6B27D4">
      <w:pPr>
        <w:pageBreakBefore w:val="0"/>
        <w:wordWrap/>
        <w:overflowPunct/>
        <w:topLinePunct w:val="0"/>
        <w:autoSpaceDE/>
        <w:autoSpaceDN/>
        <w:bidi w:val="0"/>
        <w:spacing w:line="430" w:lineRule="exact"/>
        <w:ind w:firstLine="480" w:firstLineChars="200"/>
        <w:jc w:val="both"/>
        <w:outlineLvl w:val="9"/>
        <w:rPr>
          <w:rFonts w:hint="eastAsia"/>
          <w:color w:val="auto"/>
          <w:sz w:val="24"/>
          <w:szCs w:val="24"/>
          <w:highlight w:val="none"/>
          <w:lang w:val="en-US" w:eastAsia="zh-CN"/>
        </w:rPr>
      </w:pPr>
      <w:r>
        <w:rPr>
          <w:rFonts w:hint="eastAsia"/>
          <w:color w:val="auto"/>
          <w:sz w:val="24"/>
          <w:szCs w:val="24"/>
          <w:highlight w:val="none"/>
          <w:lang w:eastAsia="zh-CN"/>
        </w:rPr>
        <w:t>联系方式：</w:t>
      </w:r>
      <w:r>
        <w:rPr>
          <w:rFonts w:hint="eastAsia"/>
          <w:color w:val="auto"/>
          <w:sz w:val="24"/>
          <w:szCs w:val="24"/>
          <w:highlight w:val="none"/>
          <w:lang w:val="en-US" w:eastAsia="zh-CN"/>
        </w:rPr>
        <w:t>18851371158</w:t>
      </w:r>
    </w:p>
    <w:p w14:paraId="7B7F80DA">
      <w:pPr>
        <w:pStyle w:val="185"/>
        <w:pageBreakBefore w:val="0"/>
        <w:wordWrap/>
        <w:overflowPunct/>
        <w:topLinePunct w:val="0"/>
        <w:autoSpaceDE/>
        <w:autoSpaceDN/>
        <w:bidi w:val="0"/>
        <w:spacing w:before="0" w:after="0" w:line="430" w:lineRule="exact"/>
        <w:ind w:firstLine="482" w:firstLineChars="200"/>
        <w:jc w:val="both"/>
        <w:outlineLvl w:val="9"/>
        <w:rPr>
          <w:color w:val="auto"/>
          <w:sz w:val="24"/>
          <w:szCs w:val="24"/>
          <w:highlight w:val="none"/>
        </w:rPr>
      </w:pPr>
      <w:r>
        <w:rPr>
          <w:rFonts w:hint="eastAsia"/>
          <w:color w:val="auto"/>
          <w:sz w:val="24"/>
          <w:szCs w:val="24"/>
          <w:highlight w:val="none"/>
        </w:rPr>
        <w:t>八、其他</w:t>
      </w:r>
    </w:p>
    <w:p w14:paraId="55E52AD4">
      <w:pPr>
        <w:pageBreakBefore w:val="0"/>
        <w:wordWrap/>
        <w:overflowPunct/>
        <w:topLinePunct w:val="0"/>
        <w:autoSpaceDE/>
        <w:autoSpaceDN/>
        <w:bidi w:val="0"/>
        <w:spacing w:line="430" w:lineRule="exact"/>
        <w:ind w:firstLine="480" w:firstLineChars="200"/>
        <w:jc w:val="both"/>
        <w:outlineLvl w:val="9"/>
        <w:rPr>
          <w:rFonts w:cs="仿宋_GB2312"/>
          <w:iCs/>
          <w:color w:val="auto"/>
          <w:sz w:val="24"/>
          <w:szCs w:val="24"/>
          <w:highlight w:val="none"/>
        </w:rPr>
      </w:pPr>
      <w:r>
        <w:rPr>
          <w:rFonts w:hint="eastAsia" w:cs="仿宋_GB2312"/>
          <w:iCs/>
          <w:color w:val="auto"/>
          <w:sz w:val="24"/>
          <w:szCs w:val="24"/>
          <w:highlight w:val="none"/>
        </w:rPr>
        <w:t>1.有关本次招标的事项若存在变动或修改，敬请及时关注“宿迁市政府采购网”更正公告。</w:t>
      </w:r>
    </w:p>
    <w:p w14:paraId="2AAE999E">
      <w:pPr>
        <w:pageBreakBefore w:val="0"/>
        <w:tabs>
          <w:tab w:val="left" w:pos="900"/>
        </w:tabs>
        <w:wordWrap/>
        <w:overflowPunct/>
        <w:topLinePunct w:val="0"/>
        <w:autoSpaceDE/>
        <w:autoSpaceDN/>
        <w:bidi w:val="0"/>
        <w:spacing w:line="430" w:lineRule="exact"/>
        <w:ind w:firstLine="482" w:firstLineChars="200"/>
        <w:jc w:val="both"/>
        <w:outlineLvl w:val="9"/>
        <w:rPr>
          <w:color w:val="auto"/>
          <w:sz w:val="24"/>
          <w:highlight w:val="none"/>
        </w:rPr>
      </w:pPr>
      <w:r>
        <w:rPr>
          <w:rFonts w:hint="eastAsia" w:cs="仿宋_GB2312"/>
          <w:b/>
          <w:bCs/>
          <w:iCs/>
          <w:color w:val="auto"/>
          <w:sz w:val="24"/>
          <w:szCs w:val="24"/>
          <w:highlight w:val="none"/>
        </w:rPr>
        <w:t>2</w:t>
      </w:r>
      <w:r>
        <w:rPr>
          <w:rFonts w:hint="eastAsia"/>
          <w:bCs/>
          <w:color w:val="auto"/>
          <w:sz w:val="24"/>
          <w:szCs w:val="24"/>
          <w:highlight w:val="none"/>
        </w:rPr>
        <w:t>.本次招标不收取投标保证金。</w:t>
      </w:r>
    </w:p>
    <w:p w14:paraId="477FB190">
      <w:pPr>
        <w:ind w:right="840"/>
        <w:rPr>
          <w:color w:val="auto"/>
          <w:sz w:val="24"/>
          <w:szCs w:val="24"/>
          <w:highlight w:val="none"/>
        </w:rPr>
      </w:pPr>
      <w:r>
        <w:rPr>
          <w:color w:val="auto"/>
          <w:sz w:val="24"/>
          <w:szCs w:val="24"/>
          <w:highlight w:val="none"/>
        </w:rPr>
        <w:br w:type="page" w:clear="all"/>
      </w:r>
    </w:p>
    <w:p w14:paraId="248773B4">
      <w:pPr>
        <w:pStyle w:val="184"/>
        <w:keepNext/>
        <w:keepLines/>
        <w:pageBreakBefore w:val="0"/>
        <w:widowControl w:val="0"/>
        <w:kinsoku/>
        <w:wordWrap/>
        <w:overflowPunct/>
        <w:topLinePunct w:val="0"/>
        <w:autoSpaceDE/>
        <w:autoSpaceDN/>
        <w:bidi w:val="0"/>
        <w:adjustRightInd/>
        <w:snapToGrid/>
        <w:spacing w:after="20" w:line="416" w:lineRule="auto"/>
        <w:ind w:firstLine="2426"/>
        <w:jc w:val="both"/>
        <w:textAlignment w:val="auto"/>
        <w:rPr>
          <w:rFonts w:ascii="Times New Roman" w:hAnsi="Times New Roman" w:eastAsia="黑体"/>
          <w:b w:val="0"/>
          <w:bCs w:val="0"/>
          <w:color w:val="auto"/>
          <w:highlight w:val="none"/>
        </w:rPr>
      </w:pPr>
      <w:bookmarkStart w:id="42" w:name="_Toc120614211"/>
      <w:r>
        <w:rPr>
          <w:rFonts w:hint="eastAsia" w:ascii="Times New Roman" w:hAnsi="Times New Roman" w:eastAsia="黑体"/>
          <w:color w:val="auto"/>
          <w:highlight w:val="none"/>
        </w:rPr>
        <w:t xml:space="preserve">第二章  </w:t>
      </w:r>
      <w:bookmarkEnd w:id="1"/>
      <w:bookmarkEnd w:id="2"/>
      <w:bookmarkEnd w:id="3"/>
      <w:bookmarkEnd w:id="4"/>
      <w:bookmarkEnd w:id="5"/>
      <w:bookmarkEnd w:id="42"/>
      <w:bookmarkStart w:id="43" w:name="_Toc16938518"/>
      <w:bookmarkStart w:id="44" w:name="_Toc513029202"/>
      <w:bookmarkStart w:id="45" w:name="_Toc20823274"/>
      <w:bookmarkStart w:id="46" w:name="_Toc120614213"/>
      <w:r>
        <w:rPr>
          <w:rFonts w:hint="eastAsia" w:ascii="Times New Roman" w:hAnsi="Times New Roman" w:eastAsia="黑体"/>
          <w:color w:val="auto"/>
          <w:highlight w:val="none"/>
        </w:rPr>
        <w:t>投标人须知</w:t>
      </w:r>
      <w:bookmarkEnd w:id="43"/>
      <w:bookmarkEnd w:id="44"/>
      <w:bookmarkEnd w:id="45"/>
      <w:bookmarkEnd w:id="46"/>
    </w:p>
    <w:p w14:paraId="0590A175">
      <w:pPr>
        <w:keepNext w:val="0"/>
        <w:keepLines w:val="0"/>
        <w:pageBreakBefore w:val="0"/>
        <w:widowControl w:val="0"/>
        <w:spacing w:line="360" w:lineRule="auto"/>
        <w:jc w:val="both"/>
        <w:outlineLvl w:val="9"/>
        <w:rPr>
          <w:rFonts w:hint="eastAsia" w:ascii="楷体_GB2312" w:hAnsi="Times New Roman" w:eastAsia="楷体_GB2312" w:cs="Times New Roman"/>
          <w:color w:val="auto"/>
          <w:sz w:val="28"/>
          <w:szCs w:val="28"/>
          <w:highlight w:val="none"/>
          <w:lang w:val="en-US" w:eastAsia="zh-CN" w:bidi="ar-SA"/>
        </w:rPr>
      </w:pPr>
      <w:bookmarkStart w:id="47" w:name="_Toc20823275"/>
      <w:bookmarkStart w:id="48" w:name="_Toc513029203"/>
      <w:bookmarkStart w:id="49" w:name="_Toc16938519"/>
      <w:bookmarkStart w:id="50" w:name="_Toc120614214"/>
      <w:r>
        <w:rPr>
          <w:rFonts w:hint="eastAsia" w:ascii="楷体_GB2312" w:hAnsi="Times New Roman" w:eastAsia="楷体_GB2312" w:cs="Times New Roman"/>
          <w:color w:val="auto"/>
          <w:sz w:val="28"/>
          <w:szCs w:val="28"/>
          <w:highlight w:val="none"/>
          <w:lang w:val="en-US" w:eastAsia="zh-CN" w:bidi="ar-SA"/>
        </w:rPr>
        <w:t>供应商须知前附表：</w:t>
      </w:r>
    </w:p>
    <w:tbl>
      <w:tblPr>
        <w:tblStyle w:val="29"/>
        <w:tblW w:w="92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1987"/>
        <w:gridCol w:w="6565"/>
      </w:tblGrid>
      <w:tr w14:paraId="745AD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01" w:type="dxa"/>
            <w:noWrap w:val="0"/>
            <w:vAlign w:val="center"/>
          </w:tcPr>
          <w:p w14:paraId="64E1BE84">
            <w:pPr>
              <w:keepNext w:val="0"/>
              <w:keepLines w:val="0"/>
              <w:pageBreakBefore w:val="0"/>
              <w:widowControl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987" w:type="dxa"/>
            <w:noWrap w:val="0"/>
            <w:vAlign w:val="center"/>
          </w:tcPr>
          <w:p w14:paraId="6994BA91">
            <w:pPr>
              <w:keepNext w:val="0"/>
              <w:keepLines w:val="0"/>
              <w:pageBreakBefore w:val="0"/>
              <w:widowControl w:val="0"/>
              <w:spacing w:line="360" w:lineRule="auto"/>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c>
          <w:tcPr>
            <w:tcW w:w="6565" w:type="dxa"/>
            <w:noWrap w:val="0"/>
            <w:vAlign w:val="center"/>
          </w:tcPr>
          <w:p w14:paraId="6B52150B">
            <w:pPr>
              <w:keepNext w:val="0"/>
              <w:keepLines w:val="0"/>
              <w:pageBreakBefore w:val="0"/>
              <w:widowControl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说明及要求</w:t>
            </w:r>
          </w:p>
        </w:tc>
      </w:tr>
      <w:tr w14:paraId="7BC7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1" w:type="dxa"/>
            <w:noWrap w:val="0"/>
            <w:vAlign w:val="center"/>
          </w:tcPr>
          <w:p w14:paraId="00BE3DEC">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87" w:type="dxa"/>
            <w:noWrap w:val="0"/>
            <w:vAlign w:val="center"/>
          </w:tcPr>
          <w:p w14:paraId="0C410ECE">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项目类别</w:t>
            </w:r>
          </w:p>
        </w:tc>
        <w:tc>
          <w:tcPr>
            <w:tcW w:w="6565" w:type="dxa"/>
            <w:noWrap w:val="0"/>
            <w:vAlign w:val="center"/>
          </w:tcPr>
          <w:p w14:paraId="0E3BA461">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本项目属性按以下第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种确定：</w:t>
            </w:r>
          </w:p>
          <w:p w14:paraId="7F4BDFEB">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1.货物采购；2.服务采购；3.工程采购。</w:t>
            </w:r>
          </w:p>
        </w:tc>
      </w:tr>
      <w:tr w14:paraId="47942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01" w:type="dxa"/>
            <w:noWrap w:val="0"/>
            <w:vAlign w:val="center"/>
          </w:tcPr>
          <w:p w14:paraId="577DD5D8">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7" w:type="dxa"/>
            <w:noWrap w:val="0"/>
            <w:vAlign w:val="center"/>
          </w:tcPr>
          <w:p w14:paraId="67C8D7DF">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565" w:type="dxa"/>
            <w:noWrap w:val="0"/>
            <w:vAlign w:val="center"/>
          </w:tcPr>
          <w:p w14:paraId="48B74642">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60日（从提交投标文件截止之日起算）</w:t>
            </w:r>
          </w:p>
        </w:tc>
      </w:tr>
      <w:tr w14:paraId="3A292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701" w:type="dxa"/>
            <w:noWrap w:val="0"/>
            <w:vAlign w:val="center"/>
          </w:tcPr>
          <w:p w14:paraId="1AE8E17C">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87" w:type="dxa"/>
            <w:noWrap w:val="0"/>
            <w:vAlign w:val="center"/>
          </w:tcPr>
          <w:p w14:paraId="2B0B4E60">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投标文件份数</w:t>
            </w:r>
          </w:p>
        </w:tc>
        <w:tc>
          <w:tcPr>
            <w:tcW w:w="6565" w:type="dxa"/>
            <w:noWrap w:val="0"/>
            <w:vAlign w:val="center"/>
          </w:tcPr>
          <w:p w14:paraId="0ED48629">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提交加密电子投标文件1份。</w:t>
            </w:r>
          </w:p>
        </w:tc>
      </w:tr>
      <w:tr w14:paraId="319F3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noWrap w:val="0"/>
            <w:vAlign w:val="center"/>
          </w:tcPr>
          <w:p w14:paraId="5E04C771">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87" w:type="dxa"/>
            <w:noWrap w:val="0"/>
            <w:vAlign w:val="center"/>
          </w:tcPr>
          <w:p w14:paraId="630C2ECA">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w:t>
            </w:r>
          </w:p>
        </w:tc>
        <w:tc>
          <w:tcPr>
            <w:tcW w:w="6565" w:type="dxa"/>
            <w:noWrap w:val="0"/>
            <w:vAlign w:val="center"/>
          </w:tcPr>
          <w:p w14:paraId="6936A540">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“苏采云”政府采购交易系统网上开标大厅进行不见面开标。</w:t>
            </w:r>
          </w:p>
        </w:tc>
      </w:tr>
      <w:tr w14:paraId="773F4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noWrap w:val="0"/>
            <w:vAlign w:val="center"/>
          </w:tcPr>
          <w:p w14:paraId="015DA12B">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87" w:type="dxa"/>
            <w:noWrap w:val="0"/>
            <w:vAlign w:val="center"/>
          </w:tcPr>
          <w:p w14:paraId="5B404C0B">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w:t>
            </w:r>
          </w:p>
        </w:tc>
        <w:tc>
          <w:tcPr>
            <w:tcW w:w="6565" w:type="dxa"/>
            <w:noWrap w:val="0"/>
            <w:vAlign w:val="center"/>
          </w:tcPr>
          <w:p w14:paraId="6689182A">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种方式确定：</w:t>
            </w:r>
          </w:p>
          <w:p w14:paraId="4B717009">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1.接受进口产品。应当符合《政府采购进口产品管理办法》(财库(2007)119 号文)、《关于政府采购进口产品管理有关问题的通知》(财办库(2008)248号文)等相关规定;</w:t>
            </w:r>
          </w:p>
          <w:p w14:paraId="7521C0E7">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2.不接受进口产品。</w:t>
            </w:r>
          </w:p>
        </w:tc>
      </w:tr>
      <w:tr w14:paraId="02579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noWrap w:val="0"/>
            <w:vAlign w:val="center"/>
          </w:tcPr>
          <w:p w14:paraId="4151ADFE">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987" w:type="dxa"/>
            <w:noWrap w:val="0"/>
            <w:vAlign w:val="center"/>
          </w:tcPr>
          <w:p w14:paraId="3846D416">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w:t>
            </w:r>
          </w:p>
        </w:tc>
        <w:tc>
          <w:tcPr>
            <w:tcW w:w="6565" w:type="dxa"/>
            <w:noWrap w:val="0"/>
            <w:vAlign w:val="center"/>
          </w:tcPr>
          <w:p w14:paraId="727DFAF0">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具体评标办法详见招标文件第三部分。</w:t>
            </w:r>
          </w:p>
          <w:p w14:paraId="038C2BEE">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评标委员会按照招标文件规定评标办法和标准推荐1-3名中标候选人。</w:t>
            </w:r>
          </w:p>
        </w:tc>
      </w:tr>
      <w:tr w14:paraId="38623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noWrap w:val="0"/>
            <w:vAlign w:val="center"/>
          </w:tcPr>
          <w:p w14:paraId="46DAFE51">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987" w:type="dxa"/>
            <w:noWrap w:val="0"/>
            <w:vAlign w:val="center"/>
          </w:tcPr>
          <w:p w14:paraId="138242AD">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确定中标人</w:t>
            </w:r>
          </w:p>
        </w:tc>
        <w:tc>
          <w:tcPr>
            <w:tcW w:w="6565" w:type="dxa"/>
            <w:noWrap w:val="0"/>
            <w:vAlign w:val="center"/>
          </w:tcPr>
          <w:p w14:paraId="7C97EA5A">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按以下第（</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）种方式确定中标人</w:t>
            </w:r>
          </w:p>
          <w:p w14:paraId="47666988">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（1）评委会直接确定排名第一的中标候选人为中标人；</w:t>
            </w:r>
          </w:p>
          <w:p w14:paraId="77AB7981">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（2）采购人在评委会推荐的中标候选人中按顺序确定中标人。</w:t>
            </w:r>
          </w:p>
        </w:tc>
      </w:tr>
      <w:tr w14:paraId="701B5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noWrap w:val="0"/>
            <w:vAlign w:val="center"/>
          </w:tcPr>
          <w:p w14:paraId="22785311">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987" w:type="dxa"/>
            <w:noWrap w:val="0"/>
            <w:vAlign w:val="center"/>
          </w:tcPr>
          <w:p w14:paraId="24B6F2B5">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分包要求</w:t>
            </w:r>
          </w:p>
        </w:tc>
        <w:tc>
          <w:tcPr>
            <w:tcW w:w="6565" w:type="dxa"/>
            <w:noWrap w:val="0"/>
            <w:vAlign w:val="center"/>
          </w:tcPr>
          <w:p w14:paraId="62C92B70">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本项目的非主体、非关键性工作是否允许分包按以下第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种方式确定：</w:t>
            </w:r>
          </w:p>
          <w:p w14:paraId="5F955693">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1.允许分包，允许大中型企业向一家或者多家小微企业分包，分包具体内容、金额或比例：无</w:t>
            </w:r>
          </w:p>
          <w:p w14:paraId="78725DD2">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2.不允许分包。</w:t>
            </w:r>
          </w:p>
        </w:tc>
      </w:tr>
      <w:tr w14:paraId="69D80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noWrap w:val="0"/>
            <w:vAlign w:val="center"/>
          </w:tcPr>
          <w:p w14:paraId="35D38632">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987" w:type="dxa"/>
            <w:noWrap w:val="0"/>
            <w:vAlign w:val="center"/>
          </w:tcPr>
          <w:p w14:paraId="49EB863F">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代理费用收取方式及标准</w:t>
            </w:r>
          </w:p>
        </w:tc>
        <w:tc>
          <w:tcPr>
            <w:tcW w:w="6565" w:type="dxa"/>
            <w:noWrap w:val="0"/>
            <w:vAlign w:val="center"/>
          </w:tcPr>
          <w:p w14:paraId="10C39265">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rPr>
            </w:pPr>
            <w:bookmarkStart w:id="51" w:name="EBfe735bb6fc4d4e5e9e350f940db98c5f"/>
            <w:bookmarkEnd w:id="51"/>
            <w:r>
              <w:rPr>
                <w:rFonts w:hint="eastAsia" w:ascii="宋体" w:hAnsi="宋体" w:eastAsia="宋体" w:cs="宋体"/>
                <w:color w:val="auto"/>
                <w:sz w:val="24"/>
                <w:szCs w:val="24"/>
                <w:highlight w:val="none"/>
                <w:lang w:eastAsia="zh-CN"/>
              </w:rPr>
              <w:t>按照苏招协</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002</w:t>
            </w:r>
            <w:r>
              <w:rPr>
                <w:rFonts w:hint="eastAsia" w:ascii="宋体" w:hAnsi="宋体" w:eastAsia="宋体" w:cs="宋体"/>
                <w:color w:val="auto"/>
                <w:sz w:val="24"/>
                <w:szCs w:val="24"/>
                <w:highlight w:val="none"/>
              </w:rPr>
              <w:t>号文</w:t>
            </w:r>
            <w:r>
              <w:rPr>
                <w:rFonts w:hint="eastAsia" w:ascii="宋体" w:hAnsi="宋体" w:eastAsia="宋体" w:cs="宋体"/>
                <w:color w:val="auto"/>
                <w:sz w:val="24"/>
                <w:szCs w:val="24"/>
                <w:highlight w:val="none"/>
                <w:lang w:eastAsia="zh-CN"/>
              </w:rPr>
              <w:t>件标准的</w:t>
            </w:r>
            <w:r>
              <w:rPr>
                <w:rFonts w:hint="eastAsia" w:ascii="Times New Roman" w:hAnsi="Times New Roman" w:eastAsia="宋体" w:cs="Times New Roman"/>
                <w:color w:val="auto"/>
                <w:sz w:val="24"/>
                <w:szCs w:val="24"/>
                <w:highlight w:val="none"/>
                <w:lang w:val="en-US" w:eastAsia="zh-CN"/>
              </w:rPr>
              <w:t>56.7</w:t>
            </w:r>
            <w:r>
              <w:rPr>
                <w:rFonts w:hint="eastAsia" w:ascii="宋体" w:hAnsi="宋体" w:eastAsia="宋体" w:cs="宋体"/>
                <w:color w:val="auto"/>
                <w:sz w:val="24"/>
                <w:szCs w:val="24"/>
                <w:highlight w:val="none"/>
                <w:lang w:val="en-US" w:eastAsia="zh-CN"/>
              </w:rPr>
              <w:t>%支付代理服务费</w:t>
            </w:r>
            <w:r>
              <w:rPr>
                <w:rFonts w:hint="eastAsia" w:ascii="宋体" w:hAnsi="宋体" w:eastAsia="宋体" w:cs="宋体"/>
                <w:color w:val="auto"/>
                <w:sz w:val="24"/>
                <w:szCs w:val="24"/>
                <w:highlight w:val="none"/>
              </w:rPr>
              <w:t>。支付方式可以通过转账或数字人民币等方式。</w:t>
            </w:r>
          </w:p>
        </w:tc>
      </w:tr>
    </w:tbl>
    <w:p w14:paraId="0B7FDA11">
      <w:pPr>
        <w:pStyle w:val="185"/>
        <w:spacing w:before="0" w:after="0" w:line="560" w:lineRule="exact"/>
        <w:ind w:firstLine="498"/>
        <w:rPr>
          <w:color w:val="auto"/>
          <w:highlight w:val="none"/>
        </w:rPr>
      </w:pPr>
      <w:r>
        <w:rPr>
          <w:rFonts w:hint="eastAsia"/>
          <w:color w:val="auto"/>
          <w:highlight w:val="none"/>
        </w:rPr>
        <w:t>一、总则</w:t>
      </w:r>
      <w:bookmarkEnd w:id="47"/>
      <w:bookmarkEnd w:id="48"/>
      <w:bookmarkEnd w:id="49"/>
      <w:bookmarkEnd w:id="50"/>
    </w:p>
    <w:p w14:paraId="1D2002CD">
      <w:pPr>
        <w:pStyle w:val="187"/>
        <w:spacing w:before="0" w:after="0" w:line="560" w:lineRule="exact"/>
        <w:ind w:firstLine="420"/>
        <w:rPr>
          <w:rFonts w:ascii="Times New Roman" w:hAnsi="Times New Roman"/>
          <w:b w:val="0"/>
          <w:bCs w:val="0"/>
          <w:color w:val="auto"/>
          <w:highlight w:val="none"/>
        </w:rPr>
      </w:pPr>
      <w:bookmarkStart w:id="52" w:name="_Hlt16619475"/>
      <w:bookmarkEnd w:id="52"/>
      <w:bookmarkStart w:id="53" w:name="_Toc458694821"/>
      <w:bookmarkStart w:id="54" w:name="_Toc16938520"/>
      <w:bookmarkStart w:id="55" w:name="_Toc20823276"/>
      <w:bookmarkStart w:id="56" w:name="_Toc513029204"/>
      <w:r>
        <w:rPr>
          <w:rFonts w:hint="eastAsia" w:ascii="Times New Roman" w:hAnsi="Times New Roman"/>
          <w:b w:val="0"/>
          <w:bCs w:val="0"/>
          <w:color w:val="auto"/>
          <w:highlight w:val="none"/>
        </w:rPr>
        <w:t>1</w:t>
      </w:r>
      <w:bookmarkEnd w:id="53"/>
      <w:r>
        <w:rPr>
          <w:rFonts w:hint="eastAsia" w:ascii="Times New Roman" w:hAnsi="Times New Roman"/>
          <w:b w:val="0"/>
          <w:bCs w:val="0"/>
          <w:color w:val="auto"/>
          <w:highlight w:val="none"/>
        </w:rPr>
        <w:t>、招标方式</w:t>
      </w:r>
      <w:bookmarkEnd w:id="54"/>
      <w:bookmarkEnd w:id="55"/>
      <w:bookmarkEnd w:id="56"/>
    </w:p>
    <w:p w14:paraId="0E8558A6">
      <w:pPr>
        <w:spacing w:line="560" w:lineRule="exact"/>
        <w:ind w:firstLine="480"/>
        <w:rPr>
          <w:color w:val="auto"/>
          <w:sz w:val="24"/>
          <w:highlight w:val="none"/>
        </w:rPr>
      </w:pPr>
      <w:r>
        <w:rPr>
          <w:rFonts w:hint="eastAsia"/>
          <w:color w:val="auto"/>
          <w:sz w:val="24"/>
          <w:highlight w:val="none"/>
        </w:rPr>
        <w:t>1.1 本次招标采取公开招标方式，本招标文件仅适用于招标公告中所述项目。</w:t>
      </w:r>
    </w:p>
    <w:p w14:paraId="2FD00073">
      <w:pPr>
        <w:pStyle w:val="187"/>
        <w:spacing w:before="0" w:after="0" w:line="560" w:lineRule="exact"/>
        <w:ind w:firstLine="420"/>
        <w:rPr>
          <w:rFonts w:ascii="Times New Roman" w:hAnsi="Times New Roman"/>
          <w:b w:val="0"/>
          <w:bCs w:val="0"/>
          <w:color w:val="auto"/>
          <w:highlight w:val="none"/>
        </w:rPr>
      </w:pPr>
      <w:bookmarkStart w:id="57" w:name="_Toc20823277"/>
      <w:bookmarkStart w:id="58" w:name="_Toc16938521"/>
      <w:bookmarkStart w:id="59" w:name="_Toc513029205"/>
      <w:r>
        <w:rPr>
          <w:rFonts w:hint="eastAsia" w:ascii="Times New Roman" w:hAnsi="Times New Roman"/>
          <w:b w:val="0"/>
          <w:bCs w:val="0"/>
          <w:color w:val="auto"/>
          <w:highlight w:val="none"/>
        </w:rPr>
        <w:t>2、合格的投标人</w:t>
      </w:r>
      <w:bookmarkEnd w:id="57"/>
      <w:bookmarkEnd w:id="58"/>
      <w:bookmarkEnd w:id="59"/>
    </w:p>
    <w:p w14:paraId="3C3D6F0A">
      <w:pPr>
        <w:spacing w:line="560" w:lineRule="exact"/>
        <w:ind w:firstLine="480"/>
        <w:rPr>
          <w:color w:val="auto"/>
          <w:sz w:val="24"/>
          <w:highlight w:val="none"/>
        </w:rPr>
      </w:pPr>
      <w:r>
        <w:rPr>
          <w:rFonts w:hint="eastAsia"/>
          <w:color w:val="auto"/>
          <w:sz w:val="24"/>
          <w:highlight w:val="none"/>
        </w:rPr>
        <w:t>2.1满足招标公告中投标人的资格要求的规定。</w:t>
      </w:r>
    </w:p>
    <w:p w14:paraId="5ADCFCBE">
      <w:pPr>
        <w:spacing w:line="560" w:lineRule="exact"/>
        <w:ind w:firstLine="480"/>
        <w:rPr>
          <w:color w:val="auto"/>
          <w:sz w:val="24"/>
          <w:highlight w:val="none"/>
        </w:rPr>
      </w:pPr>
      <w:r>
        <w:rPr>
          <w:rFonts w:hint="eastAsia"/>
          <w:color w:val="auto"/>
          <w:sz w:val="24"/>
          <w:highlight w:val="none"/>
        </w:rPr>
        <w:t>2.2 满足本文件实质性要求和条件的规定。</w:t>
      </w:r>
    </w:p>
    <w:p w14:paraId="5521EBC1">
      <w:pPr>
        <w:pStyle w:val="187"/>
        <w:spacing w:before="0" w:after="0" w:line="560" w:lineRule="exact"/>
        <w:ind w:firstLine="420"/>
        <w:rPr>
          <w:rFonts w:ascii="Times New Roman" w:hAnsi="Times New Roman"/>
          <w:b w:val="0"/>
          <w:bCs w:val="0"/>
          <w:color w:val="auto"/>
          <w:highlight w:val="none"/>
        </w:rPr>
      </w:pPr>
      <w:bookmarkStart w:id="60" w:name="_Toc513029206"/>
      <w:bookmarkStart w:id="61" w:name="_Toc20823278"/>
      <w:bookmarkStart w:id="62" w:name="_Toc16938522"/>
      <w:r>
        <w:rPr>
          <w:rFonts w:hint="eastAsia" w:ascii="Times New Roman" w:hAnsi="Times New Roman"/>
          <w:b w:val="0"/>
          <w:bCs w:val="0"/>
          <w:color w:val="auto"/>
          <w:highlight w:val="none"/>
        </w:rPr>
        <w:t>3、适用法律</w:t>
      </w:r>
      <w:bookmarkEnd w:id="60"/>
      <w:bookmarkEnd w:id="61"/>
      <w:bookmarkEnd w:id="62"/>
    </w:p>
    <w:p w14:paraId="5D67123D">
      <w:pPr>
        <w:spacing w:line="560" w:lineRule="exact"/>
        <w:ind w:firstLine="480"/>
        <w:rPr>
          <w:color w:val="auto"/>
          <w:sz w:val="24"/>
          <w:highlight w:val="none"/>
        </w:rPr>
      </w:pPr>
      <w:r>
        <w:rPr>
          <w:rFonts w:hint="eastAsia"/>
          <w:color w:val="auto"/>
          <w:sz w:val="24"/>
          <w:highlight w:val="none"/>
        </w:rPr>
        <w:t>3.1 本次招标及由此产生的合同受中华人民共和国有关的法律法规制约和保护。</w:t>
      </w:r>
    </w:p>
    <w:p w14:paraId="4653164F">
      <w:pPr>
        <w:pStyle w:val="187"/>
        <w:spacing w:before="0" w:after="0" w:line="560" w:lineRule="exact"/>
        <w:ind w:firstLine="420"/>
        <w:rPr>
          <w:rFonts w:ascii="Times New Roman" w:hAnsi="Times New Roman"/>
          <w:b w:val="0"/>
          <w:bCs w:val="0"/>
          <w:color w:val="auto"/>
          <w:highlight w:val="none"/>
        </w:rPr>
      </w:pPr>
      <w:bookmarkStart w:id="63" w:name="_Toc20823279"/>
      <w:bookmarkStart w:id="64" w:name="_Toc462564067"/>
      <w:bookmarkStart w:id="65" w:name="_Toc16938523"/>
      <w:bookmarkStart w:id="66" w:name="_Toc513029207"/>
      <w:r>
        <w:rPr>
          <w:rFonts w:hint="eastAsia" w:ascii="Times New Roman" w:hAnsi="Times New Roman"/>
          <w:b w:val="0"/>
          <w:bCs w:val="0"/>
          <w:color w:val="auto"/>
          <w:highlight w:val="none"/>
        </w:rPr>
        <w:t>4、投标费用</w:t>
      </w:r>
      <w:bookmarkEnd w:id="63"/>
      <w:bookmarkEnd w:id="64"/>
      <w:bookmarkEnd w:id="65"/>
      <w:bookmarkEnd w:id="66"/>
    </w:p>
    <w:p w14:paraId="0201FA7B">
      <w:pPr>
        <w:spacing w:line="560" w:lineRule="exact"/>
        <w:ind w:firstLine="480"/>
        <w:rPr>
          <w:color w:val="auto"/>
          <w:sz w:val="24"/>
          <w:highlight w:val="none"/>
        </w:rPr>
      </w:pPr>
      <w:r>
        <w:rPr>
          <w:rFonts w:hint="eastAsia"/>
          <w:color w:val="auto"/>
          <w:sz w:val="24"/>
          <w:highlight w:val="none"/>
        </w:rPr>
        <w:t>4.1 投标人应自行承担所有与参加投标有关的费用，无论投标过程中的做法和结果如何，</w:t>
      </w:r>
      <w:r>
        <w:rPr>
          <w:rFonts w:hint="eastAsia"/>
          <w:color w:val="auto"/>
          <w:sz w:val="24"/>
          <w:highlight w:val="none"/>
          <w:u w:val="single"/>
          <w:lang w:eastAsia="zh-CN"/>
        </w:rPr>
        <w:t>江苏中煊工程技术咨询有限公司</w:t>
      </w:r>
      <w:r>
        <w:rPr>
          <w:rFonts w:hint="eastAsia"/>
          <w:color w:val="auto"/>
          <w:sz w:val="24"/>
          <w:highlight w:val="none"/>
          <w:u w:val="single"/>
        </w:rPr>
        <w:t>（</w:t>
      </w:r>
      <w:r>
        <w:rPr>
          <w:rFonts w:hint="eastAsia"/>
          <w:color w:val="auto"/>
          <w:sz w:val="24"/>
          <w:highlight w:val="none"/>
        </w:rPr>
        <w:t>以下简称采购代理机构）在任何情况下均无义务和责任承担这些费用。</w:t>
      </w:r>
    </w:p>
    <w:p w14:paraId="01299456">
      <w:pPr>
        <w:spacing w:line="560" w:lineRule="exact"/>
        <w:ind w:firstLine="480"/>
        <w:rPr>
          <w:color w:val="auto"/>
          <w:sz w:val="24"/>
          <w:highlight w:val="none"/>
        </w:rPr>
      </w:pPr>
      <w:r>
        <w:rPr>
          <w:rFonts w:hint="eastAsia"/>
          <w:color w:val="auto"/>
          <w:sz w:val="24"/>
          <w:highlight w:val="none"/>
        </w:rPr>
        <w:t>4.2代理费用收取方式及标准：按以下第 2 种方式执行</w:t>
      </w:r>
    </w:p>
    <w:p w14:paraId="35969063">
      <w:pPr>
        <w:spacing w:line="560" w:lineRule="exact"/>
        <w:ind w:firstLine="480"/>
        <w:rPr>
          <w:color w:val="auto"/>
          <w:sz w:val="24"/>
          <w:highlight w:val="none"/>
          <w:lang w:val="zh-CN"/>
        </w:rPr>
      </w:pPr>
      <w:r>
        <w:rPr>
          <w:rFonts w:hint="eastAsia"/>
          <w:color w:val="auto"/>
          <w:sz w:val="24"/>
          <w:highlight w:val="none"/>
          <w:lang w:val="zh-CN"/>
        </w:rPr>
        <w:t>4.2.1无需支付；</w:t>
      </w:r>
    </w:p>
    <w:p w14:paraId="340FA5FB">
      <w:pPr>
        <w:spacing w:line="560" w:lineRule="exact"/>
        <w:ind w:firstLine="480"/>
        <w:rPr>
          <w:color w:val="auto"/>
          <w:sz w:val="24"/>
          <w:highlight w:val="none"/>
        </w:rPr>
      </w:pPr>
      <w:r>
        <w:rPr>
          <w:rFonts w:hint="eastAsia"/>
          <w:color w:val="auto"/>
          <w:sz w:val="24"/>
          <w:highlight w:val="none"/>
          <w:lang w:val="zh-CN"/>
        </w:rPr>
        <w:t>4.2.2具体方式及标准为：</w:t>
      </w:r>
      <w:bookmarkStart w:id="67" w:name="EB175462eccefa411d9ac6a9d79cb40789"/>
      <w:r>
        <w:rPr>
          <w:rFonts w:hint="eastAsia"/>
          <w:color w:val="auto"/>
          <w:sz w:val="24"/>
          <w:highlight w:val="none"/>
        </w:rPr>
        <w:t>按照“苏招协【2022】002号”文件</w:t>
      </w:r>
      <w:r>
        <w:rPr>
          <w:rFonts w:hint="eastAsia"/>
          <w:color w:val="auto"/>
          <w:sz w:val="24"/>
          <w:highlight w:val="none"/>
          <w:lang w:eastAsia="zh-CN"/>
        </w:rPr>
        <w:t>规定标准的</w:t>
      </w:r>
      <w:r>
        <w:rPr>
          <w:rFonts w:hint="eastAsia"/>
          <w:color w:val="auto"/>
          <w:sz w:val="24"/>
          <w:highlight w:val="none"/>
          <w:lang w:val="en-US" w:eastAsia="zh-CN"/>
        </w:rPr>
        <w:t>56.7%</w:t>
      </w:r>
      <w:r>
        <w:rPr>
          <w:rFonts w:hint="eastAsia"/>
          <w:color w:val="auto"/>
          <w:sz w:val="24"/>
          <w:highlight w:val="none"/>
        </w:rPr>
        <w:t>向招标代理机构支付。</w:t>
      </w:r>
      <w:bookmarkEnd w:id="67"/>
    </w:p>
    <w:p w14:paraId="52F38B72">
      <w:pPr>
        <w:pStyle w:val="187"/>
        <w:spacing w:before="0" w:after="0" w:line="560" w:lineRule="exact"/>
        <w:ind w:firstLine="602"/>
        <w:rPr>
          <w:rFonts w:ascii="Times New Roman" w:hAnsi="Times New Roman"/>
          <w:b w:val="0"/>
          <w:bCs w:val="0"/>
          <w:color w:val="auto"/>
          <w:highlight w:val="none"/>
        </w:rPr>
      </w:pPr>
      <w:r>
        <w:rPr>
          <w:rFonts w:hint="eastAsia" w:ascii="Times New Roman" w:hAnsi="Times New Roman"/>
          <w:color w:val="auto"/>
          <w:sz w:val="30"/>
          <w:highlight w:val="none"/>
        </w:rPr>
        <w:t>5、</w:t>
      </w:r>
      <w:r>
        <w:rPr>
          <w:rFonts w:hint="eastAsia" w:ascii="Times New Roman" w:hAnsi="Times New Roman"/>
          <w:b w:val="0"/>
          <w:bCs w:val="0"/>
          <w:color w:val="auto"/>
          <w:highlight w:val="none"/>
        </w:rPr>
        <w:t>招标文件的约束力</w:t>
      </w:r>
    </w:p>
    <w:p w14:paraId="27231F55">
      <w:pPr>
        <w:spacing w:line="560" w:lineRule="exact"/>
        <w:ind w:firstLine="480"/>
        <w:rPr>
          <w:color w:val="auto"/>
          <w:sz w:val="24"/>
          <w:szCs w:val="24"/>
          <w:highlight w:val="none"/>
        </w:rPr>
      </w:pPr>
      <w:r>
        <w:rPr>
          <w:rFonts w:hint="eastAsia"/>
          <w:bCs/>
          <w:color w:val="auto"/>
          <w:sz w:val="24"/>
          <w:szCs w:val="24"/>
          <w:highlight w:val="none"/>
        </w:rPr>
        <w:t>5.1</w:t>
      </w:r>
      <w:r>
        <w:rPr>
          <w:rFonts w:hint="eastAsia"/>
          <w:color w:val="auto"/>
          <w:sz w:val="24"/>
          <w:szCs w:val="24"/>
          <w:highlight w:val="none"/>
        </w:rPr>
        <w:t xml:space="preserve"> 投标人一旦参加本项目采购活动，即被认为接受了本招标文件的规定和约束。</w:t>
      </w:r>
    </w:p>
    <w:p w14:paraId="73BA46FC">
      <w:pPr>
        <w:pStyle w:val="185"/>
        <w:spacing w:before="0" w:after="0" w:line="560" w:lineRule="exact"/>
        <w:ind w:firstLine="321"/>
        <w:rPr>
          <w:color w:val="auto"/>
          <w:highlight w:val="none"/>
        </w:rPr>
      </w:pPr>
      <w:bookmarkStart w:id="68" w:name="_Toc513029209"/>
      <w:bookmarkStart w:id="69" w:name="_Toc16938525"/>
      <w:bookmarkStart w:id="70" w:name="_Toc20823281"/>
      <w:bookmarkStart w:id="71" w:name="_Toc120614215"/>
      <w:r>
        <w:rPr>
          <w:rFonts w:hint="eastAsia"/>
          <w:color w:val="auto"/>
          <w:highlight w:val="none"/>
        </w:rPr>
        <w:t>二、招标文件</w:t>
      </w:r>
      <w:bookmarkEnd w:id="68"/>
      <w:bookmarkEnd w:id="69"/>
      <w:bookmarkEnd w:id="70"/>
      <w:bookmarkEnd w:id="71"/>
    </w:p>
    <w:p w14:paraId="66930323">
      <w:pPr>
        <w:pStyle w:val="187"/>
        <w:spacing w:before="0" w:after="0" w:line="560" w:lineRule="exact"/>
        <w:ind w:firstLine="420"/>
        <w:rPr>
          <w:rFonts w:ascii="Times New Roman" w:hAnsi="Times New Roman"/>
          <w:b w:val="0"/>
          <w:bCs w:val="0"/>
          <w:color w:val="auto"/>
          <w:highlight w:val="none"/>
        </w:rPr>
      </w:pPr>
      <w:bookmarkStart w:id="72" w:name="_Toc16938526"/>
      <w:bookmarkStart w:id="73" w:name="_Toc20823282"/>
      <w:bookmarkStart w:id="74" w:name="_Toc513029210"/>
      <w:r>
        <w:rPr>
          <w:rFonts w:hint="eastAsia" w:ascii="Times New Roman" w:hAnsi="Times New Roman"/>
          <w:b w:val="0"/>
          <w:bCs w:val="0"/>
          <w:color w:val="auto"/>
          <w:highlight w:val="none"/>
        </w:rPr>
        <w:t>6、招标文件构成</w:t>
      </w:r>
      <w:bookmarkEnd w:id="72"/>
      <w:bookmarkEnd w:id="73"/>
      <w:bookmarkEnd w:id="74"/>
    </w:p>
    <w:p w14:paraId="046AF5B4">
      <w:pPr>
        <w:spacing w:line="560" w:lineRule="exact"/>
        <w:ind w:firstLine="480"/>
        <w:rPr>
          <w:color w:val="auto"/>
          <w:sz w:val="24"/>
          <w:highlight w:val="none"/>
        </w:rPr>
      </w:pPr>
      <w:r>
        <w:rPr>
          <w:rFonts w:hint="eastAsia"/>
          <w:bCs/>
          <w:color w:val="auto"/>
          <w:sz w:val="24"/>
          <w:highlight w:val="none"/>
        </w:rPr>
        <w:t>6.1</w:t>
      </w:r>
      <w:r>
        <w:rPr>
          <w:rFonts w:hint="eastAsia"/>
          <w:color w:val="auto"/>
          <w:sz w:val="24"/>
          <w:highlight w:val="none"/>
        </w:rPr>
        <w:t xml:space="preserve"> 招标文件由以下部分组成：</w:t>
      </w:r>
    </w:p>
    <w:p w14:paraId="11026682">
      <w:pPr>
        <w:spacing w:line="560" w:lineRule="exact"/>
        <w:ind w:firstLine="360"/>
        <w:rPr>
          <w:color w:val="auto"/>
          <w:sz w:val="24"/>
          <w:szCs w:val="24"/>
          <w:highlight w:val="none"/>
        </w:rPr>
      </w:pPr>
      <w:r>
        <w:rPr>
          <w:rFonts w:hint="eastAsia"/>
          <w:color w:val="auto"/>
          <w:sz w:val="24"/>
          <w:szCs w:val="24"/>
          <w:highlight w:val="none"/>
        </w:rPr>
        <w:t>（1）投标</w:t>
      </w:r>
      <w:r>
        <w:rPr>
          <w:color w:val="auto"/>
          <w:sz w:val="24"/>
          <w:szCs w:val="24"/>
          <w:highlight w:val="none"/>
        </w:rPr>
        <w:t>邀请</w:t>
      </w:r>
    </w:p>
    <w:p w14:paraId="6C77B5DE">
      <w:pPr>
        <w:spacing w:line="560" w:lineRule="exact"/>
        <w:ind w:firstLine="360"/>
        <w:rPr>
          <w:color w:val="auto"/>
          <w:sz w:val="24"/>
          <w:szCs w:val="24"/>
          <w:highlight w:val="none"/>
        </w:rPr>
      </w:pPr>
      <w:r>
        <w:rPr>
          <w:rFonts w:hint="eastAsia"/>
          <w:color w:val="auto"/>
          <w:sz w:val="24"/>
          <w:szCs w:val="24"/>
          <w:highlight w:val="none"/>
        </w:rPr>
        <w:t>（2）投标人须知</w:t>
      </w:r>
    </w:p>
    <w:p w14:paraId="3DD62D2C">
      <w:pPr>
        <w:spacing w:line="560" w:lineRule="exact"/>
        <w:ind w:firstLine="360"/>
        <w:rPr>
          <w:color w:val="auto"/>
          <w:sz w:val="24"/>
          <w:szCs w:val="24"/>
          <w:highlight w:val="none"/>
        </w:rPr>
      </w:pPr>
      <w:r>
        <w:rPr>
          <w:rFonts w:hint="eastAsia"/>
          <w:color w:val="auto"/>
          <w:sz w:val="24"/>
          <w:szCs w:val="24"/>
          <w:highlight w:val="none"/>
        </w:rPr>
        <w:t>（3）合同文本</w:t>
      </w:r>
    </w:p>
    <w:p w14:paraId="5837399C">
      <w:pPr>
        <w:spacing w:line="560" w:lineRule="exact"/>
        <w:ind w:firstLine="360"/>
        <w:rPr>
          <w:color w:val="auto"/>
          <w:sz w:val="24"/>
          <w:szCs w:val="24"/>
          <w:highlight w:val="none"/>
        </w:rPr>
      </w:pPr>
      <w:r>
        <w:rPr>
          <w:rFonts w:hint="eastAsia"/>
          <w:color w:val="auto"/>
          <w:sz w:val="24"/>
          <w:szCs w:val="24"/>
          <w:highlight w:val="none"/>
        </w:rPr>
        <w:t>（4）采购需求</w:t>
      </w:r>
    </w:p>
    <w:p w14:paraId="7BC2AED6">
      <w:pPr>
        <w:spacing w:line="560" w:lineRule="exact"/>
        <w:ind w:firstLine="360"/>
        <w:rPr>
          <w:color w:val="auto"/>
          <w:sz w:val="24"/>
          <w:szCs w:val="24"/>
          <w:highlight w:val="none"/>
        </w:rPr>
      </w:pPr>
      <w:r>
        <w:rPr>
          <w:rFonts w:hint="eastAsia"/>
          <w:color w:val="auto"/>
          <w:sz w:val="24"/>
          <w:szCs w:val="24"/>
          <w:highlight w:val="none"/>
        </w:rPr>
        <w:t>（5）评标方法与评标标准</w:t>
      </w:r>
    </w:p>
    <w:p w14:paraId="4A1D3E34">
      <w:pPr>
        <w:spacing w:line="560" w:lineRule="exact"/>
        <w:ind w:firstLine="360"/>
        <w:rPr>
          <w:color w:val="auto"/>
          <w:sz w:val="24"/>
          <w:szCs w:val="24"/>
          <w:highlight w:val="none"/>
        </w:rPr>
      </w:pPr>
      <w:r>
        <w:rPr>
          <w:rFonts w:hint="eastAsia"/>
          <w:color w:val="auto"/>
          <w:sz w:val="24"/>
          <w:szCs w:val="24"/>
          <w:highlight w:val="none"/>
        </w:rPr>
        <w:t>（6）投标文件格式</w:t>
      </w:r>
    </w:p>
    <w:p w14:paraId="1F5F5333">
      <w:pPr>
        <w:spacing w:line="560" w:lineRule="exact"/>
        <w:ind w:firstLine="480"/>
        <w:rPr>
          <w:color w:val="auto"/>
          <w:sz w:val="24"/>
          <w:highlight w:val="none"/>
        </w:rPr>
      </w:pPr>
      <w:r>
        <w:rPr>
          <w:rFonts w:hint="eastAsia"/>
          <w:color w:val="auto"/>
          <w:sz w:val="24"/>
          <w:highlight w:val="none"/>
        </w:rPr>
        <w:t>请仔细检查招标文件是否齐全，如有缺漏请立即与采购代理机构联系解决。</w:t>
      </w:r>
    </w:p>
    <w:p w14:paraId="48DA48C9">
      <w:pPr>
        <w:spacing w:line="560" w:lineRule="exact"/>
        <w:ind w:firstLine="480"/>
        <w:rPr>
          <w:color w:val="auto"/>
          <w:sz w:val="24"/>
          <w:highlight w:val="none"/>
        </w:rPr>
      </w:pPr>
      <w:r>
        <w:rPr>
          <w:rFonts w:hint="eastAsia"/>
          <w:bCs/>
          <w:color w:val="auto"/>
          <w:sz w:val="24"/>
          <w:highlight w:val="none"/>
        </w:rPr>
        <w:t>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35FE6E8">
      <w:pPr>
        <w:pStyle w:val="187"/>
        <w:spacing w:before="0" w:after="0" w:line="560" w:lineRule="exact"/>
        <w:ind w:firstLine="560"/>
        <w:rPr>
          <w:rFonts w:ascii="Times New Roman" w:hAnsi="Times New Roman"/>
          <w:b w:val="0"/>
          <w:bCs w:val="0"/>
          <w:color w:val="auto"/>
          <w:highlight w:val="none"/>
        </w:rPr>
      </w:pPr>
      <w:bookmarkStart w:id="75" w:name="_Toc513029211"/>
      <w:bookmarkStart w:id="76" w:name="_Toc16938527"/>
      <w:bookmarkStart w:id="77" w:name="_Toc20823283"/>
      <w:bookmarkStart w:id="78" w:name="_Toc462564070"/>
      <w:r>
        <w:rPr>
          <w:rFonts w:hint="eastAsia" w:ascii="Times New Roman" w:hAnsi="Times New Roman"/>
          <w:b w:val="0"/>
          <w:bCs w:val="0"/>
          <w:color w:val="auto"/>
          <w:highlight w:val="none"/>
        </w:rPr>
        <w:t>7、招标文件的澄清</w:t>
      </w:r>
      <w:bookmarkEnd w:id="75"/>
      <w:bookmarkEnd w:id="76"/>
      <w:bookmarkEnd w:id="77"/>
      <w:bookmarkEnd w:id="78"/>
    </w:p>
    <w:p w14:paraId="4E2D594D">
      <w:pPr>
        <w:spacing w:line="560" w:lineRule="exact"/>
        <w:ind w:firstLine="480"/>
        <w:rPr>
          <w:color w:val="auto"/>
          <w:sz w:val="24"/>
          <w:szCs w:val="24"/>
          <w:highlight w:val="none"/>
        </w:rPr>
      </w:pPr>
      <w:r>
        <w:rPr>
          <w:rFonts w:hint="eastAsia"/>
          <w:bCs/>
          <w:color w:val="auto"/>
          <w:sz w:val="24"/>
          <w:highlight w:val="none"/>
        </w:rPr>
        <w:t>7.1</w:t>
      </w:r>
      <w:r>
        <w:rPr>
          <w:rFonts w:hint="eastAsia"/>
          <w:color w:val="auto"/>
          <w:sz w:val="24"/>
          <w:highlight w:val="none"/>
        </w:rPr>
        <w:t xml:space="preserve"> 任何要求对招标文件进行澄清的投标人，应在投标截止期</w:t>
      </w:r>
      <w:r>
        <w:rPr>
          <w:rFonts w:hint="eastAsia"/>
          <w:b/>
          <w:color w:val="auto"/>
          <w:sz w:val="24"/>
          <w:szCs w:val="24"/>
          <w:highlight w:val="none"/>
        </w:rPr>
        <w:t>十日</w:t>
      </w:r>
      <w:r>
        <w:rPr>
          <w:rFonts w:hint="eastAsia"/>
          <w:color w:val="auto"/>
          <w:sz w:val="24"/>
          <w:szCs w:val="24"/>
          <w:highlight w:val="none"/>
        </w:rPr>
        <w:t>前</w:t>
      </w:r>
      <w:r>
        <w:rPr>
          <w:rFonts w:hint="eastAsia"/>
          <w:color w:val="auto"/>
          <w:sz w:val="24"/>
          <w:highlight w:val="none"/>
        </w:rPr>
        <w:t>按招标公告中的通讯地址，以书面形式通知采购代理机构。</w:t>
      </w:r>
    </w:p>
    <w:p w14:paraId="1F91B5D1">
      <w:pPr>
        <w:pStyle w:val="187"/>
        <w:spacing w:before="0" w:after="0" w:line="560" w:lineRule="exact"/>
        <w:ind w:firstLine="560"/>
        <w:rPr>
          <w:rFonts w:ascii="Times New Roman" w:hAnsi="Times New Roman"/>
          <w:b w:val="0"/>
          <w:bCs w:val="0"/>
          <w:color w:val="auto"/>
          <w:highlight w:val="none"/>
        </w:rPr>
      </w:pPr>
      <w:bookmarkStart w:id="79" w:name="_Toc462564071"/>
      <w:bookmarkStart w:id="80" w:name="_Toc16938528"/>
      <w:bookmarkStart w:id="81" w:name="_Toc20823284"/>
      <w:bookmarkStart w:id="82" w:name="_Toc513029212"/>
      <w:r>
        <w:rPr>
          <w:rFonts w:hint="eastAsia" w:ascii="Times New Roman" w:hAnsi="Times New Roman"/>
          <w:b w:val="0"/>
          <w:bCs w:val="0"/>
          <w:color w:val="auto"/>
          <w:highlight w:val="none"/>
        </w:rPr>
        <w:t>8、招标文件的修改</w:t>
      </w:r>
      <w:bookmarkEnd w:id="79"/>
      <w:bookmarkEnd w:id="80"/>
      <w:bookmarkEnd w:id="81"/>
      <w:bookmarkEnd w:id="82"/>
    </w:p>
    <w:p w14:paraId="4DD25E8E">
      <w:pPr>
        <w:spacing w:line="560" w:lineRule="exact"/>
        <w:ind w:firstLine="480"/>
        <w:rPr>
          <w:bCs/>
          <w:color w:val="auto"/>
          <w:sz w:val="24"/>
          <w:highlight w:val="none"/>
        </w:rPr>
      </w:pPr>
      <w:r>
        <w:rPr>
          <w:rFonts w:hint="eastAsia"/>
          <w:bCs/>
          <w:color w:val="auto"/>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6F2596D7">
      <w:pPr>
        <w:spacing w:line="560" w:lineRule="exact"/>
        <w:ind w:firstLine="480"/>
        <w:rPr>
          <w:bCs/>
          <w:color w:val="auto"/>
          <w:sz w:val="24"/>
          <w:highlight w:val="none"/>
        </w:rPr>
      </w:pPr>
      <w:r>
        <w:rPr>
          <w:rFonts w:hint="eastAsia"/>
          <w:bCs/>
          <w:color w:val="auto"/>
          <w:sz w:val="24"/>
          <w:highlight w:val="none"/>
        </w:rPr>
        <w:t>8.2 在投标截止时间前，采购代理机构可以对招标文件进行修改。</w:t>
      </w:r>
    </w:p>
    <w:p w14:paraId="32A5CCF9">
      <w:pPr>
        <w:spacing w:line="560" w:lineRule="exact"/>
        <w:ind w:firstLine="480"/>
        <w:rPr>
          <w:bCs/>
          <w:color w:val="auto"/>
          <w:sz w:val="24"/>
          <w:highlight w:val="none"/>
        </w:rPr>
      </w:pPr>
      <w:r>
        <w:rPr>
          <w:rFonts w:hint="eastAsia"/>
          <w:bCs/>
          <w:color w:val="auto"/>
          <w:sz w:val="24"/>
          <w:highlight w:val="none"/>
        </w:rPr>
        <w:t>8.3采购代理机构有权按照法定的要求推迟投标截止日期和开标日期。</w:t>
      </w:r>
    </w:p>
    <w:p w14:paraId="4E9578BB">
      <w:pPr>
        <w:spacing w:line="560" w:lineRule="exact"/>
        <w:ind w:firstLine="480"/>
        <w:rPr>
          <w:bCs/>
          <w:color w:val="auto"/>
          <w:sz w:val="24"/>
          <w:highlight w:val="none"/>
        </w:rPr>
      </w:pPr>
      <w:r>
        <w:rPr>
          <w:rFonts w:hint="eastAsia"/>
          <w:bCs/>
          <w:color w:val="auto"/>
          <w:sz w:val="24"/>
          <w:highlight w:val="none"/>
        </w:rPr>
        <w:t>8.4招标文件的修改将在将在原公告媒体上发布更正公告，补充文件将作为招标文件的组成部分，并对投标人具有约束力，发布的更正公告视同为以书面形式通知所有获取招标文件的潜在投标人。</w:t>
      </w:r>
    </w:p>
    <w:p w14:paraId="58C9C663">
      <w:pPr>
        <w:spacing w:line="560" w:lineRule="exact"/>
        <w:ind w:firstLine="480"/>
        <w:rPr>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p>
    <w:p w14:paraId="0305D1AC">
      <w:pPr>
        <w:pStyle w:val="185"/>
        <w:spacing w:before="0" w:after="0" w:line="560" w:lineRule="exact"/>
        <w:ind w:firstLine="482"/>
        <w:rPr>
          <w:color w:val="auto"/>
          <w:highlight w:val="none"/>
        </w:rPr>
      </w:pPr>
      <w:bookmarkStart w:id="83" w:name="_Toc462564072"/>
      <w:bookmarkStart w:id="84" w:name="_Toc20823285"/>
      <w:bookmarkStart w:id="85" w:name="_Toc16938529"/>
      <w:bookmarkStart w:id="86" w:name="_Toc513029213"/>
      <w:bookmarkStart w:id="87" w:name="_Toc120614216"/>
      <w:r>
        <w:rPr>
          <w:rFonts w:hint="eastAsia"/>
          <w:color w:val="auto"/>
          <w:highlight w:val="none"/>
        </w:rPr>
        <w:t>三、投标文件的编制</w:t>
      </w:r>
      <w:bookmarkEnd w:id="83"/>
      <w:bookmarkEnd w:id="84"/>
      <w:bookmarkEnd w:id="85"/>
      <w:bookmarkEnd w:id="86"/>
      <w:bookmarkEnd w:id="87"/>
    </w:p>
    <w:p w14:paraId="141F1E5B">
      <w:pPr>
        <w:pStyle w:val="187"/>
        <w:spacing w:before="0" w:after="0" w:line="560" w:lineRule="exact"/>
        <w:ind w:firstLine="560"/>
        <w:rPr>
          <w:rFonts w:ascii="Times New Roman" w:hAnsi="Times New Roman"/>
          <w:bCs w:val="0"/>
          <w:color w:val="auto"/>
          <w:highlight w:val="none"/>
        </w:rPr>
      </w:pPr>
      <w:bookmarkStart w:id="88" w:name="_Toc16938530"/>
      <w:bookmarkStart w:id="89" w:name="_Toc20823286"/>
      <w:bookmarkStart w:id="90" w:name="_Toc513029214"/>
      <w:bookmarkStart w:id="91" w:name="_Toc462564073"/>
      <w:r>
        <w:rPr>
          <w:rFonts w:hint="eastAsia" w:ascii="Times New Roman" w:hAnsi="Times New Roman"/>
          <w:b w:val="0"/>
          <w:bCs w:val="0"/>
          <w:color w:val="auto"/>
          <w:highlight w:val="none"/>
        </w:rPr>
        <w:t>9、投标文件的语言及度量衡单位</w:t>
      </w:r>
      <w:bookmarkEnd w:id="88"/>
      <w:bookmarkEnd w:id="89"/>
      <w:bookmarkEnd w:id="90"/>
      <w:bookmarkEnd w:id="91"/>
    </w:p>
    <w:p w14:paraId="1CFD1791">
      <w:pPr>
        <w:spacing w:line="560" w:lineRule="exact"/>
        <w:ind w:firstLine="480"/>
        <w:rPr>
          <w:color w:val="auto"/>
          <w:sz w:val="24"/>
          <w:highlight w:val="none"/>
        </w:rPr>
      </w:pPr>
      <w:r>
        <w:rPr>
          <w:rFonts w:hint="eastAsia"/>
          <w:bCs/>
          <w:color w:val="auto"/>
          <w:sz w:val="24"/>
          <w:highlight w:val="none"/>
        </w:rPr>
        <w:t>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简体中文</w:t>
      </w:r>
      <w:r>
        <w:rPr>
          <w:rFonts w:hint="eastAsia"/>
          <w:color w:val="auto"/>
          <w:sz w:val="24"/>
          <w:highlight w:val="none"/>
        </w:rPr>
        <w:t>。</w:t>
      </w:r>
    </w:p>
    <w:p w14:paraId="07396791">
      <w:pPr>
        <w:spacing w:line="560" w:lineRule="exact"/>
        <w:ind w:firstLine="480"/>
        <w:rPr>
          <w:color w:val="auto"/>
          <w:sz w:val="24"/>
          <w:highlight w:val="none"/>
        </w:rPr>
      </w:pPr>
      <w:r>
        <w:rPr>
          <w:rFonts w:hint="eastAsia"/>
          <w:bCs/>
          <w:color w:val="auto"/>
          <w:sz w:val="24"/>
          <w:highlight w:val="none"/>
        </w:rPr>
        <w:t>9.2</w:t>
      </w:r>
      <w:r>
        <w:rPr>
          <w:rFonts w:hint="eastAsia"/>
          <w:color w:val="auto"/>
          <w:sz w:val="24"/>
          <w:highlight w:val="none"/>
        </w:rPr>
        <w:t xml:space="preserve"> 除技术性能另有规定外，投标文件所使用的度量衡单位，均须采用国家法定计量单位。</w:t>
      </w:r>
    </w:p>
    <w:p w14:paraId="168349FC">
      <w:pPr>
        <w:pStyle w:val="187"/>
        <w:spacing w:before="0" w:after="0" w:line="560" w:lineRule="exact"/>
        <w:ind w:firstLine="420"/>
        <w:rPr>
          <w:rFonts w:ascii="Times New Roman" w:hAnsi="Times New Roman"/>
          <w:b w:val="0"/>
          <w:bCs w:val="0"/>
          <w:color w:val="auto"/>
          <w:highlight w:val="none"/>
        </w:rPr>
      </w:pPr>
      <w:bookmarkStart w:id="92" w:name="_Toc462564074"/>
      <w:bookmarkStart w:id="93" w:name="_Toc513029215"/>
      <w:bookmarkStart w:id="94" w:name="_Toc20823287"/>
      <w:bookmarkStart w:id="95" w:name="_Toc16938531"/>
      <w:r>
        <w:rPr>
          <w:rFonts w:hint="eastAsia" w:ascii="Times New Roman" w:hAnsi="Times New Roman"/>
          <w:b w:val="0"/>
          <w:bCs w:val="0"/>
          <w:color w:val="auto"/>
          <w:highlight w:val="none"/>
        </w:rPr>
        <w:t>10、投标文件构成</w:t>
      </w:r>
      <w:bookmarkEnd w:id="92"/>
      <w:bookmarkEnd w:id="93"/>
      <w:bookmarkEnd w:id="94"/>
      <w:bookmarkEnd w:id="95"/>
    </w:p>
    <w:p w14:paraId="37E3561F">
      <w:pPr>
        <w:spacing w:line="560" w:lineRule="exact"/>
        <w:ind w:firstLine="48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0160006A">
      <w:pPr>
        <w:spacing w:line="560" w:lineRule="exact"/>
        <w:ind w:firstLine="48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CN"/>
        </w:rPr>
        <w:t>各投标人在编制投标文件时请按照招标文件第六</w:t>
      </w:r>
      <w:r>
        <w:rPr>
          <w:rFonts w:hint="eastAsia" w:ascii="Times New Roman" w:hAnsi="Times New Roman" w:eastAsia="宋体" w:cs="Times New Roman"/>
          <w:color w:val="auto"/>
          <w:sz w:val="24"/>
          <w:highlight w:val="none"/>
        </w:rPr>
        <w:t>章</w:t>
      </w:r>
      <w:r>
        <w:rPr>
          <w:rFonts w:hint="eastAsia" w:ascii="Times New Roman" w:hAnsi="Times New Roman" w:eastAsia="宋体" w:cs="Times New Roman"/>
          <w:color w:val="auto"/>
          <w:sz w:val="24"/>
          <w:highlight w:val="none"/>
          <w:lang w:val="zh-CN"/>
        </w:rPr>
        <w:t>规定的格式进行，混乱的编排导致投标文件被误读或评委会查找不到有效文件是投标人的风险。</w:t>
      </w:r>
    </w:p>
    <w:p w14:paraId="795BB0EF">
      <w:pPr>
        <w:spacing w:line="560" w:lineRule="exact"/>
        <w:ind w:firstLine="480"/>
        <w:rPr>
          <w:color w:val="auto"/>
          <w:sz w:val="24"/>
          <w:highlight w:val="none"/>
        </w:rPr>
      </w:pPr>
      <w:r>
        <w:rPr>
          <w:rFonts w:hint="eastAsia" w:ascii="Times New Roman" w:hAnsi="Times New Roman" w:eastAsia="宋体" w:cs="Times New Roman"/>
          <w:color w:val="auto"/>
          <w:sz w:val="24"/>
          <w:highlight w:val="none"/>
        </w:rPr>
        <w:t>10.2 投标人编写的</w:t>
      </w:r>
      <w:r>
        <w:rPr>
          <w:rFonts w:hint="eastAsia"/>
          <w:color w:val="auto"/>
          <w:sz w:val="24"/>
          <w:highlight w:val="none"/>
        </w:rPr>
        <w:t>投标文件应包括资格证明文件、符合性证明文件、投标分项报价表、响应及偏离表、其他证明文件、投标函、开标一览表等部分。</w:t>
      </w:r>
    </w:p>
    <w:p w14:paraId="00D364FA">
      <w:pPr>
        <w:spacing w:line="560" w:lineRule="exact"/>
        <w:ind w:firstLine="480"/>
        <w:rPr>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p>
    <w:p w14:paraId="1F6A4193">
      <w:pPr>
        <w:spacing w:line="560" w:lineRule="exact"/>
        <w:ind w:firstLine="480"/>
        <w:rPr>
          <w:bCs/>
          <w:color w:val="auto"/>
          <w:sz w:val="24"/>
          <w:highlight w:val="none"/>
        </w:rPr>
      </w:pPr>
      <w:r>
        <w:rPr>
          <w:rFonts w:hint="eastAsia"/>
          <w:bCs/>
          <w:color w:val="auto"/>
          <w:sz w:val="24"/>
          <w:highlight w:val="none"/>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584A9E0C">
      <w:pPr>
        <w:spacing w:line="560" w:lineRule="exact"/>
        <w:ind w:firstLine="480"/>
        <w:rPr>
          <w:bCs/>
          <w:color w:val="auto"/>
          <w:sz w:val="24"/>
          <w:highlight w:val="none"/>
        </w:rPr>
      </w:pPr>
      <w:r>
        <w:rPr>
          <w:rFonts w:hint="eastAsia"/>
          <w:bCs/>
          <w:color w:val="auto"/>
          <w:sz w:val="24"/>
          <w:highlight w:val="none"/>
        </w:rPr>
        <w:t>10.5 如标书制作工具中格式和内容与“宿迁市政府采购网”发布的招标文件不一致，请以“宿迁市政府采购网”发布的招标文件为准。</w:t>
      </w:r>
    </w:p>
    <w:p w14:paraId="0C954411">
      <w:pPr>
        <w:spacing w:line="560" w:lineRule="exact"/>
        <w:ind w:firstLine="480"/>
        <w:rPr>
          <w:bCs/>
          <w:color w:val="auto"/>
          <w:sz w:val="24"/>
          <w:highlight w:val="none"/>
        </w:rPr>
      </w:pPr>
      <w:r>
        <w:rPr>
          <w:rFonts w:hint="eastAsia"/>
          <w:bCs/>
          <w:color w:val="auto"/>
          <w:sz w:val="24"/>
          <w:highlight w:val="none"/>
        </w:rPr>
        <w:t>10.6中标后按相关要求提供与电子投标文件一致的纸质打印投标文件</w:t>
      </w:r>
      <w:r>
        <w:rPr>
          <w:rFonts w:hint="eastAsia"/>
          <w:bCs/>
          <w:color w:val="auto"/>
          <w:sz w:val="24"/>
          <w:highlight w:val="none"/>
          <w:lang w:val="en-US" w:eastAsia="zh-CN"/>
        </w:rPr>
        <w:t>3</w:t>
      </w:r>
      <w:r>
        <w:rPr>
          <w:rFonts w:hint="eastAsia"/>
          <w:bCs/>
          <w:color w:val="auto"/>
          <w:sz w:val="24"/>
          <w:highlight w:val="none"/>
        </w:rPr>
        <w:t xml:space="preserve">份。 </w:t>
      </w:r>
    </w:p>
    <w:p w14:paraId="7BD329DE">
      <w:pPr>
        <w:spacing w:line="560" w:lineRule="exact"/>
        <w:ind w:firstLine="480"/>
        <w:rPr>
          <w:bCs/>
          <w:color w:val="auto"/>
          <w:sz w:val="24"/>
          <w:highlight w:val="none"/>
        </w:rPr>
      </w:pPr>
      <w:bookmarkStart w:id="96" w:name="EBc50e2bb832bb43068403b10c1cce6141"/>
      <w:r>
        <w:rPr>
          <w:rFonts w:hint="eastAsia"/>
          <w:bCs/>
          <w:color w:val="auto"/>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p>
    <w:p w14:paraId="5BF67B9F">
      <w:pPr>
        <w:pStyle w:val="187"/>
        <w:spacing w:before="0" w:after="0" w:line="560" w:lineRule="exact"/>
        <w:ind w:firstLine="420"/>
        <w:rPr>
          <w:rFonts w:ascii="Times New Roman" w:hAnsi="Times New Roman"/>
          <w:b w:val="0"/>
          <w:bCs w:val="0"/>
          <w:color w:val="auto"/>
          <w:highlight w:val="none"/>
        </w:rPr>
      </w:pPr>
      <w:bookmarkStart w:id="97" w:name="_Hlt26670360"/>
      <w:bookmarkEnd w:id="97"/>
      <w:bookmarkStart w:id="98" w:name="_Hlt26954838"/>
      <w:bookmarkEnd w:id="98"/>
      <w:bookmarkStart w:id="99" w:name="_Hlt26668975"/>
      <w:bookmarkEnd w:id="99"/>
      <w:bookmarkStart w:id="100" w:name="_Toc513029219"/>
      <w:bookmarkStart w:id="101" w:name="_Toc49090509"/>
      <w:bookmarkStart w:id="102" w:name="_Toc14577357"/>
      <w:bookmarkStart w:id="103" w:name="_Toc49090507"/>
      <w:bookmarkStart w:id="104" w:name="_Toc513029216"/>
      <w:bookmarkStart w:id="105" w:name="_Toc14577354"/>
      <w:r>
        <w:rPr>
          <w:rFonts w:hint="eastAsia" w:ascii="Times New Roman" w:hAnsi="Times New Roman"/>
          <w:b w:val="0"/>
          <w:bCs w:val="0"/>
          <w:color w:val="auto"/>
          <w:highlight w:val="none"/>
        </w:rPr>
        <w:t>11、证明投标人及投标标的符合招标文件规定的文件</w:t>
      </w:r>
      <w:bookmarkEnd w:id="100"/>
      <w:bookmarkEnd w:id="101"/>
      <w:bookmarkEnd w:id="102"/>
    </w:p>
    <w:bookmarkEnd w:id="103"/>
    <w:bookmarkEnd w:id="104"/>
    <w:bookmarkEnd w:id="105"/>
    <w:p w14:paraId="343287E4">
      <w:pPr>
        <w:spacing w:line="560" w:lineRule="exact"/>
        <w:rPr>
          <w:color w:val="auto"/>
          <w:sz w:val="24"/>
          <w:szCs w:val="24"/>
          <w:highlight w:val="none"/>
        </w:rPr>
      </w:pPr>
      <w:bookmarkStart w:id="106" w:name="_Toc14577355"/>
      <w:bookmarkStart w:id="107" w:name="_Toc49090508"/>
      <w:r>
        <w:rPr>
          <w:rFonts w:hint="eastAsia"/>
          <w:color w:val="auto"/>
          <w:sz w:val="24"/>
          <w:szCs w:val="24"/>
          <w:highlight w:val="none"/>
        </w:rPr>
        <w:t xml:space="preserve">    11.1 投标人应按照法律、法规、规章和规范性文件以及招标文件要求提交证明文件，证明其及投标标的符合招标文件规定。</w:t>
      </w:r>
    </w:p>
    <w:p w14:paraId="7D36734D">
      <w:pPr>
        <w:spacing w:line="560" w:lineRule="exact"/>
        <w:ind w:firstLine="480"/>
        <w:rPr>
          <w:color w:val="auto"/>
          <w:sz w:val="24"/>
          <w:szCs w:val="24"/>
          <w:highlight w:val="none"/>
        </w:rPr>
      </w:pPr>
      <w:r>
        <w:rPr>
          <w:rFonts w:hint="eastAsia"/>
          <w:color w:val="auto"/>
          <w:sz w:val="24"/>
          <w:szCs w:val="24"/>
          <w:highlight w:val="none"/>
        </w:rPr>
        <w:t>11.2招标文件对证明文件无明确形式要求的，证明文件可以以文字资料、图纸和数据等形式提交。</w:t>
      </w:r>
    </w:p>
    <w:p w14:paraId="695656B7">
      <w:pPr>
        <w:pStyle w:val="187"/>
        <w:spacing w:before="0" w:after="0" w:line="560" w:lineRule="exact"/>
        <w:ind w:firstLine="420"/>
        <w:rPr>
          <w:rFonts w:ascii="Times New Roman" w:hAnsi="Times New Roman"/>
          <w:b w:val="0"/>
          <w:bCs w:val="0"/>
          <w:color w:val="auto"/>
          <w:highlight w:val="none"/>
        </w:rPr>
      </w:pPr>
      <w:r>
        <w:rPr>
          <w:rFonts w:hint="eastAsia" w:ascii="Times New Roman" w:hAnsi="Times New Roman"/>
          <w:b w:val="0"/>
          <w:bCs w:val="0"/>
          <w:color w:val="auto"/>
          <w:highlight w:val="none"/>
        </w:rPr>
        <w:t>12、投标分项报价</w:t>
      </w:r>
      <w:bookmarkEnd w:id="106"/>
      <w:bookmarkStart w:id="108" w:name="_Hlt26670373"/>
      <w:bookmarkEnd w:id="108"/>
      <w:r>
        <w:rPr>
          <w:rFonts w:hint="eastAsia" w:ascii="Times New Roman" w:hAnsi="Times New Roman"/>
          <w:b w:val="0"/>
          <w:bCs w:val="0"/>
          <w:color w:val="auto"/>
          <w:highlight w:val="none"/>
        </w:rPr>
        <w:t>表</w:t>
      </w:r>
      <w:bookmarkEnd w:id="107"/>
    </w:p>
    <w:p w14:paraId="39192D86">
      <w:pPr>
        <w:spacing w:line="560" w:lineRule="exact"/>
        <w:ind w:firstLine="480"/>
        <w:rPr>
          <w:bCs/>
          <w:color w:val="auto"/>
          <w:sz w:val="24"/>
          <w:highlight w:val="none"/>
        </w:rPr>
      </w:pPr>
      <w:r>
        <w:rPr>
          <w:rFonts w:hint="eastAsia"/>
          <w:bCs/>
          <w:color w:val="auto"/>
          <w:sz w:val="24"/>
          <w:highlight w:val="none"/>
        </w:rPr>
        <w:t>12.1</w:t>
      </w:r>
      <w:r>
        <w:rPr>
          <w:rFonts w:hint="eastAsia"/>
          <w:color w:val="auto"/>
          <w:sz w:val="24"/>
          <w:highlight w:val="none"/>
        </w:rPr>
        <w:t xml:space="preserve"> 投</w:t>
      </w:r>
      <w:bookmarkStart w:id="109" w:name="_Hlt26954840"/>
      <w:bookmarkEnd w:id="109"/>
      <w:r>
        <w:rPr>
          <w:rFonts w:hint="eastAsia"/>
          <w:color w:val="auto"/>
          <w:sz w:val="24"/>
          <w:highlight w:val="none"/>
        </w:rPr>
        <w:t>标人应按照招标文件规定格式填报投标分项报价表</w:t>
      </w:r>
      <w:bookmarkStart w:id="110" w:name="_Hlt26670399"/>
      <w:bookmarkEnd w:id="110"/>
      <w:r>
        <w:rPr>
          <w:rFonts w:hint="eastAsia"/>
          <w:color w:val="auto"/>
          <w:sz w:val="24"/>
          <w:highlight w:val="none"/>
        </w:rPr>
        <w:t>。</w:t>
      </w:r>
    </w:p>
    <w:p w14:paraId="217075EA">
      <w:pPr>
        <w:spacing w:line="560" w:lineRule="exact"/>
        <w:ind w:firstLine="480"/>
        <w:rPr>
          <w:color w:val="auto"/>
          <w:sz w:val="24"/>
          <w:highlight w:val="none"/>
        </w:rPr>
      </w:pPr>
      <w:r>
        <w:rPr>
          <w:rFonts w:hint="eastAsia"/>
          <w:color w:val="auto"/>
          <w:sz w:val="24"/>
          <w:highlight w:val="none"/>
        </w:rPr>
        <w:t>12.2</w:t>
      </w:r>
      <w:r>
        <w:rPr>
          <w:rFonts w:hint="eastAsia"/>
          <w:bCs/>
          <w:color w:val="auto"/>
          <w:sz w:val="24"/>
          <w:highlight w:val="none"/>
        </w:rPr>
        <w:t>投标货币。投标文件中的单价和总价无特殊规定的采用人民币报价，以元为单位标注。</w:t>
      </w:r>
      <w:r>
        <w:rPr>
          <w:rFonts w:hint="eastAsia"/>
          <w:color w:val="auto"/>
          <w:sz w:val="24"/>
          <w:highlight w:val="none"/>
        </w:rPr>
        <w:t>招标文件中另有规定的按规定执行。</w:t>
      </w:r>
    </w:p>
    <w:p w14:paraId="459CC7B5">
      <w:pPr>
        <w:spacing w:line="560" w:lineRule="exact"/>
        <w:ind w:firstLine="480"/>
        <w:rPr>
          <w:bCs/>
          <w:color w:val="auto"/>
          <w:sz w:val="24"/>
          <w:highlight w:val="none"/>
        </w:rPr>
      </w:pPr>
      <w:r>
        <w:rPr>
          <w:rFonts w:hint="eastAsia"/>
          <w:bCs/>
          <w:color w:val="auto"/>
          <w:sz w:val="24"/>
          <w:highlight w:val="none"/>
        </w:rPr>
        <w:t>12.3本项目不接受备选的投标方案或有选择的报价，只允许有一个报价。投标报价内容包括：响应报价应包括货款、包装、运输、装卸、保险、税金、货到就位以及安装、调试、培训、保修等完成本项目所涉及到的一切相关费用。</w:t>
      </w:r>
    </w:p>
    <w:p w14:paraId="596A0751">
      <w:pPr>
        <w:pStyle w:val="187"/>
        <w:spacing w:before="0" w:after="0" w:line="560" w:lineRule="exact"/>
        <w:ind w:firstLine="420"/>
        <w:rPr>
          <w:b w:val="0"/>
          <w:bCs w:val="0"/>
          <w:color w:val="auto"/>
          <w:highlight w:val="none"/>
        </w:rPr>
      </w:pPr>
      <w:bookmarkStart w:id="111" w:name="_Hlt26670482"/>
      <w:bookmarkEnd w:id="111"/>
      <w:bookmarkStart w:id="112" w:name="_Hlt26954844"/>
      <w:bookmarkEnd w:id="112"/>
      <w:bookmarkStart w:id="113" w:name="_Hlt26954731"/>
      <w:bookmarkEnd w:id="113"/>
      <w:bookmarkStart w:id="114" w:name="_Hlt26954846"/>
      <w:bookmarkEnd w:id="114"/>
      <w:bookmarkStart w:id="115" w:name="_Hlt26668983"/>
      <w:bookmarkEnd w:id="115"/>
      <w:bookmarkStart w:id="116" w:name="_Hlt26954848"/>
      <w:bookmarkEnd w:id="116"/>
      <w:bookmarkStart w:id="117" w:name="_Hlt26670403"/>
      <w:bookmarkEnd w:id="117"/>
      <w:bookmarkStart w:id="118" w:name="_Hlt26670425"/>
      <w:bookmarkEnd w:id="118"/>
      <w:bookmarkStart w:id="119" w:name="_Hlt26954842"/>
      <w:bookmarkEnd w:id="119"/>
      <w:bookmarkStart w:id="120" w:name="_Hlt26670486"/>
      <w:bookmarkEnd w:id="120"/>
      <w:bookmarkStart w:id="121" w:name="_Toc14577359"/>
      <w:bookmarkStart w:id="122" w:name="_Toc49090510"/>
      <w:r>
        <w:rPr>
          <w:rFonts w:hint="eastAsia"/>
          <w:b w:val="0"/>
          <w:bCs w:val="0"/>
          <w:color w:val="auto"/>
          <w:highlight w:val="none"/>
        </w:rPr>
        <w:t>13、技术要求响应及偏离表、商务要求响应及偏离表</w:t>
      </w:r>
    </w:p>
    <w:p w14:paraId="15BEBB44">
      <w:pPr>
        <w:spacing w:line="560" w:lineRule="exact"/>
        <w:ind w:firstLine="480"/>
        <w:rPr>
          <w:rFonts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.1</w:t>
      </w:r>
      <w:r>
        <w:rPr>
          <w:rFonts w:hint="eastAsia" w:ascii="宋体" w:hAnsi="Arial" w:cs="宋体"/>
          <w:color w:val="auto"/>
          <w:sz w:val="24"/>
          <w:highlight w:val="none"/>
          <w:lang w:val="zh-CN"/>
        </w:rPr>
        <w:t>投标人需对招标文件中的技术要求与商务要求逐项作出响应或偏离，并说明原因。</w:t>
      </w:r>
    </w:p>
    <w:p w14:paraId="2ED8A9A1">
      <w:pPr>
        <w:tabs>
          <w:tab w:val="left" w:pos="1035"/>
        </w:tabs>
        <w:spacing w:line="560" w:lineRule="exact"/>
        <w:ind w:firstLine="480"/>
        <w:rPr>
          <w:rFonts w:ascii="宋体" w:hAnsi="Arial" w:cs="宋体"/>
          <w:color w:val="auto"/>
          <w:sz w:val="24"/>
          <w:highlight w:val="none"/>
          <w:lang w:val="zh-CN"/>
        </w:rPr>
      </w:pPr>
      <w:r>
        <w:rPr>
          <w:rFonts w:hint="eastAsia" w:ascii="宋体" w:hAnsi="Arial" w:cs="宋体"/>
          <w:color w:val="auto"/>
          <w:sz w:val="24"/>
          <w:highlight w:val="none"/>
          <w:lang w:val="zh-CN"/>
        </w:rPr>
        <w:t>13.2 投标人可在投标文件中提供认为需要的其他技术文件或说明。</w:t>
      </w:r>
    </w:p>
    <w:p w14:paraId="6349BF64">
      <w:pPr>
        <w:pStyle w:val="187"/>
        <w:spacing w:before="0" w:after="0" w:line="560" w:lineRule="exact"/>
        <w:ind w:firstLine="420"/>
        <w:rPr>
          <w:rFonts w:ascii="Times New Roman" w:hAnsi="Times New Roman"/>
          <w:b w:val="0"/>
          <w:bCs w:val="0"/>
          <w:color w:val="auto"/>
          <w:highlight w:val="none"/>
        </w:rPr>
      </w:pPr>
      <w:r>
        <w:rPr>
          <w:rFonts w:hint="eastAsia" w:ascii="Times New Roman" w:hAnsi="Times New Roman"/>
          <w:b w:val="0"/>
          <w:bCs w:val="0"/>
          <w:color w:val="auto"/>
          <w:highlight w:val="none"/>
          <w:lang w:val="en-US" w:eastAsia="zh-CN"/>
        </w:rPr>
        <w:t>14</w:t>
      </w:r>
      <w:r>
        <w:rPr>
          <w:rFonts w:hint="eastAsia" w:ascii="Times New Roman" w:hAnsi="Times New Roman"/>
          <w:b w:val="0"/>
          <w:bCs w:val="0"/>
          <w:color w:val="auto"/>
          <w:highlight w:val="none"/>
        </w:rPr>
        <w:t>、投标声明及承诺函和开标一览表</w:t>
      </w:r>
    </w:p>
    <w:p w14:paraId="4C7251A1">
      <w:pPr>
        <w:spacing w:line="560" w:lineRule="exact"/>
        <w:ind w:firstLine="480"/>
        <w:rPr>
          <w:color w:val="auto"/>
          <w:sz w:val="24"/>
          <w:highlight w:val="none"/>
        </w:rPr>
      </w:pPr>
      <w:r>
        <w:rPr>
          <w:rFonts w:hint="eastAsia"/>
          <w:bCs/>
          <w:color w:val="auto"/>
          <w:sz w:val="24"/>
          <w:highlight w:val="none"/>
        </w:rPr>
        <w:t>1</w:t>
      </w:r>
      <w:r>
        <w:rPr>
          <w:rFonts w:hint="eastAsia"/>
          <w:bCs/>
          <w:color w:val="auto"/>
          <w:sz w:val="24"/>
          <w:highlight w:val="none"/>
          <w:lang w:val="en-US" w:eastAsia="zh-CN"/>
        </w:rPr>
        <w:t>4</w:t>
      </w:r>
      <w:r>
        <w:rPr>
          <w:rFonts w:hint="eastAsia"/>
          <w:bCs/>
          <w:color w:val="auto"/>
          <w:sz w:val="24"/>
          <w:highlight w:val="none"/>
        </w:rPr>
        <w:t>.1</w:t>
      </w:r>
      <w:r>
        <w:rPr>
          <w:rFonts w:hint="eastAsia"/>
          <w:color w:val="auto"/>
          <w:sz w:val="24"/>
          <w:highlight w:val="none"/>
        </w:rPr>
        <w:t xml:space="preserve"> 投标人应按照招标文件中提供的格式完整、正确填写投标声明及承诺函、开标一览表。</w:t>
      </w:r>
    </w:p>
    <w:p w14:paraId="08E73260">
      <w:pPr>
        <w:spacing w:line="560" w:lineRule="exact"/>
        <w:ind w:firstLine="480"/>
        <w:rPr>
          <w:color w:val="auto"/>
          <w:sz w:val="24"/>
          <w:highlight w:val="none"/>
        </w:rPr>
      </w:pPr>
      <w:r>
        <w:rPr>
          <w:rFonts w:hint="eastAsia"/>
          <w:bCs/>
          <w:color w:val="auto"/>
          <w:sz w:val="24"/>
          <w:highlight w:val="none"/>
        </w:rPr>
        <w:t>1</w:t>
      </w:r>
      <w:r>
        <w:rPr>
          <w:rFonts w:hint="eastAsia"/>
          <w:bCs/>
          <w:color w:val="auto"/>
          <w:sz w:val="24"/>
          <w:highlight w:val="none"/>
          <w:lang w:val="en-US" w:eastAsia="zh-CN"/>
        </w:rPr>
        <w:t>4</w:t>
      </w:r>
      <w:r>
        <w:rPr>
          <w:rFonts w:hint="eastAsia"/>
          <w:bCs/>
          <w:color w:val="auto"/>
          <w:sz w:val="24"/>
          <w:highlight w:val="none"/>
        </w:rPr>
        <w:t>.2</w:t>
      </w:r>
      <w:r>
        <w:rPr>
          <w:rFonts w:hint="eastAsia"/>
          <w:color w:val="auto"/>
          <w:sz w:val="24"/>
          <w:highlight w:val="none"/>
        </w:rPr>
        <w:t xml:space="preserve"> 对于采用货币报价的项目，</w:t>
      </w:r>
      <w:r>
        <w:rPr>
          <w:rFonts w:hint="eastAsia"/>
          <w:bCs/>
          <w:color w:val="auto"/>
          <w:sz w:val="24"/>
          <w:highlight w:val="none"/>
        </w:rPr>
        <w:t>开标一览表中的投标总报价应与投标分项报价表中的投标总报价一致，如不一致，</w:t>
      </w:r>
      <w:r>
        <w:rPr>
          <w:rFonts w:hint="eastAsia"/>
          <w:color w:val="auto"/>
          <w:sz w:val="24"/>
          <w:szCs w:val="24"/>
          <w:highlight w:val="none"/>
        </w:rPr>
        <w:t>不作为无效投标处理</w:t>
      </w:r>
      <w:r>
        <w:rPr>
          <w:rFonts w:hint="eastAsia"/>
          <w:bCs/>
          <w:color w:val="auto"/>
          <w:sz w:val="24"/>
          <w:highlight w:val="none"/>
        </w:rPr>
        <w:t>，但评标时按开标一览表中价格为准</w:t>
      </w:r>
      <w:r>
        <w:rPr>
          <w:rFonts w:hint="eastAsia"/>
          <w:b/>
          <w:bCs/>
          <w:color w:val="auto"/>
          <w:sz w:val="24"/>
          <w:highlight w:val="none"/>
        </w:rPr>
        <w:t>。</w:t>
      </w:r>
    </w:p>
    <w:bookmarkEnd w:id="121"/>
    <w:bookmarkEnd w:id="122"/>
    <w:p w14:paraId="170B9CC8">
      <w:pPr>
        <w:pStyle w:val="187"/>
        <w:spacing w:before="0" w:after="0" w:line="560" w:lineRule="exact"/>
        <w:ind w:firstLine="420"/>
        <w:rPr>
          <w:rFonts w:ascii="Times New Roman" w:hAnsi="Times New Roman"/>
          <w:b w:val="0"/>
          <w:bCs w:val="0"/>
          <w:color w:val="auto"/>
          <w:highlight w:val="none"/>
        </w:rPr>
      </w:pPr>
      <w:bookmarkStart w:id="123" w:name="_Hlt26954850"/>
      <w:bookmarkEnd w:id="123"/>
      <w:bookmarkStart w:id="124" w:name="_Hlt26954734"/>
      <w:bookmarkEnd w:id="124"/>
      <w:bookmarkStart w:id="125" w:name="_Hlt26670489"/>
      <w:bookmarkEnd w:id="125"/>
      <w:bookmarkStart w:id="126" w:name="_Toc14577360"/>
      <w:bookmarkStart w:id="127" w:name="_Toc49090511"/>
      <w:r>
        <w:rPr>
          <w:rFonts w:hint="eastAsia" w:ascii="Times New Roman" w:hAnsi="Times New Roman"/>
          <w:b w:val="0"/>
          <w:bCs w:val="0"/>
          <w:color w:val="auto"/>
          <w:highlight w:val="none"/>
        </w:rPr>
        <w:t>1</w:t>
      </w:r>
      <w:r>
        <w:rPr>
          <w:rFonts w:hint="eastAsia" w:ascii="Times New Roman" w:hAnsi="Times New Roman"/>
          <w:b w:val="0"/>
          <w:bCs w:val="0"/>
          <w:color w:val="auto"/>
          <w:highlight w:val="none"/>
          <w:lang w:val="en-US" w:eastAsia="zh-CN"/>
        </w:rPr>
        <w:t>5</w:t>
      </w:r>
      <w:r>
        <w:rPr>
          <w:rFonts w:hint="eastAsia" w:ascii="Times New Roman" w:hAnsi="Times New Roman"/>
          <w:b w:val="0"/>
          <w:bCs w:val="0"/>
          <w:color w:val="auto"/>
          <w:highlight w:val="none"/>
        </w:rPr>
        <w:t>、投标有效期</w:t>
      </w:r>
      <w:bookmarkEnd w:id="126"/>
      <w:bookmarkEnd w:id="127"/>
    </w:p>
    <w:p w14:paraId="53A74CA1">
      <w:pPr>
        <w:spacing w:line="560" w:lineRule="exact"/>
        <w:ind w:firstLine="480"/>
        <w:rPr>
          <w:bCs/>
          <w:color w:val="auto"/>
          <w:sz w:val="24"/>
          <w:highlight w:val="none"/>
        </w:rPr>
      </w:pPr>
      <w:r>
        <w:rPr>
          <w:rFonts w:hint="eastAsia"/>
          <w:color w:val="auto"/>
          <w:sz w:val="24"/>
          <w:highlight w:val="none"/>
        </w:rPr>
        <w:t>1</w:t>
      </w:r>
      <w:r>
        <w:rPr>
          <w:rFonts w:hint="eastAsia"/>
          <w:color w:val="auto"/>
          <w:sz w:val="24"/>
          <w:highlight w:val="none"/>
          <w:lang w:val="en-US" w:eastAsia="zh-CN"/>
        </w:rPr>
        <w:t>5</w:t>
      </w:r>
      <w:r>
        <w:rPr>
          <w:rFonts w:hint="eastAsia"/>
          <w:color w:val="auto"/>
          <w:sz w:val="24"/>
          <w:highlight w:val="none"/>
        </w:rPr>
        <w:t>.1</w:t>
      </w:r>
      <w:r>
        <w:rPr>
          <w:rFonts w:hint="eastAsia"/>
          <w:bCs/>
          <w:color w:val="auto"/>
          <w:sz w:val="24"/>
          <w:highlight w:val="none"/>
        </w:rPr>
        <w:t xml:space="preserve"> 投标有效期为开标之日后</w:t>
      </w:r>
      <w:r>
        <w:rPr>
          <w:rFonts w:hint="eastAsia"/>
          <w:b/>
          <w:color w:val="auto"/>
          <w:sz w:val="24"/>
          <w:highlight w:val="none"/>
          <w:u w:val="single"/>
        </w:rPr>
        <w:t>六十（60）天</w:t>
      </w:r>
      <w:r>
        <w:rPr>
          <w:rFonts w:hint="eastAsia"/>
          <w:bCs/>
          <w:color w:val="auto"/>
          <w:sz w:val="24"/>
          <w:highlight w:val="none"/>
        </w:rPr>
        <w:t>。投标有效期比规定短的将被视为未实质性响应招标</w:t>
      </w:r>
      <w:r>
        <w:rPr>
          <w:bCs/>
          <w:color w:val="auto"/>
          <w:sz w:val="24"/>
          <w:highlight w:val="none"/>
        </w:rPr>
        <w:t>文件</w:t>
      </w:r>
      <w:r>
        <w:rPr>
          <w:rFonts w:hint="eastAsia"/>
          <w:bCs/>
          <w:color w:val="auto"/>
          <w:sz w:val="24"/>
          <w:highlight w:val="none"/>
        </w:rPr>
        <w:t>而予以拒绝。</w:t>
      </w:r>
    </w:p>
    <w:p w14:paraId="6D063DD6">
      <w:pPr>
        <w:pStyle w:val="187"/>
        <w:spacing w:before="0" w:after="0" w:line="560" w:lineRule="exact"/>
        <w:ind w:firstLine="420"/>
        <w:rPr>
          <w:rFonts w:ascii="Times New Roman" w:hAnsi="Times New Roman"/>
          <w:b w:val="0"/>
          <w:bCs w:val="0"/>
          <w:color w:val="auto"/>
          <w:highlight w:val="none"/>
        </w:rPr>
      </w:pPr>
      <w:r>
        <w:rPr>
          <w:rFonts w:hint="eastAsia" w:ascii="Times New Roman" w:hAnsi="Times New Roman"/>
          <w:b w:val="0"/>
          <w:bCs w:val="0"/>
          <w:color w:val="auto"/>
          <w:highlight w:val="none"/>
        </w:rPr>
        <w:t>1</w:t>
      </w:r>
      <w:r>
        <w:rPr>
          <w:rFonts w:hint="eastAsia" w:ascii="Times New Roman" w:hAnsi="Times New Roman"/>
          <w:b w:val="0"/>
          <w:bCs w:val="0"/>
          <w:color w:val="auto"/>
          <w:highlight w:val="none"/>
          <w:lang w:val="en-US" w:eastAsia="zh-CN"/>
        </w:rPr>
        <w:t>6</w:t>
      </w:r>
      <w:r>
        <w:rPr>
          <w:rFonts w:hint="eastAsia" w:ascii="Times New Roman" w:hAnsi="Times New Roman"/>
          <w:b w:val="0"/>
          <w:bCs w:val="0"/>
          <w:color w:val="auto"/>
          <w:highlight w:val="none"/>
        </w:rPr>
        <w:t>、投标有效期的延长</w:t>
      </w:r>
    </w:p>
    <w:p w14:paraId="4315721E">
      <w:pPr>
        <w:spacing w:line="560" w:lineRule="exact"/>
        <w:ind w:firstLine="480"/>
        <w:rPr>
          <w:bCs/>
          <w:color w:val="auto"/>
          <w:sz w:val="24"/>
          <w:highlight w:val="none"/>
        </w:rPr>
      </w:pPr>
      <w:r>
        <w:rPr>
          <w:rFonts w:hint="eastAsia"/>
          <w:color w:val="auto"/>
          <w:sz w:val="24"/>
          <w:highlight w:val="none"/>
        </w:rPr>
        <w:t>1</w:t>
      </w:r>
      <w:r>
        <w:rPr>
          <w:rFonts w:hint="eastAsia"/>
          <w:color w:val="auto"/>
          <w:sz w:val="24"/>
          <w:highlight w:val="none"/>
          <w:lang w:val="en-US" w:eastAsia="zh-CN"/>
        </w:rPr>
        <w:t>6</w:t>
      </w:r>
      <w:r>
        <w:rPr>
          <w:rFonts w:hint="eastAsia"/>
          <w:color w:val="auto"/>
          <w:sz w:val="24"/>
          <w:highlight w:val="none"/>
        </w:rPr>
        <w:t>.1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w:t>
      </w:r>
      <w:r>
        <w:rPr>
          <w:rFonts w:hint="eastAsia"/>
          <w:bCs/>
          <w:color w:val="auto"/>
          <w:sz w:val="24"/>
          <w:highlight w:val="none"/>
        </w:rPr>
        <w:t>同意延长投标有效期的投标人既不能要求也不允许修改其投标文件</w:t>
      </w:r>
      <w:r>
        <w:rPr>
          <w:rFonts w:hint="eastAsia"/>
          <w:color w:val="auto"/>
          <w:sz w:val="24"/>
          <w:szCs w:val="24"/>
          <w:highlight w:val="none"/>
        </w:rPr>
        <w:t>，同时受投标有效期约束的所有权利与义务均延长至新的有效期</w:t>
      </w:r>
      <w:r>
        <w:rPr>
          <w:rFonts w:hint="eastAsia"/>
          <w:bCs/>
          <w:color w:val="auto"/>
          <w:sz w:val="24"/>
          <w:highlight w:val="none"/>
        </w:rPr>
        <w:t>。</w:t>
      </w:r>
    </w:p>
    <w:p w14:paraId="055DC0EE">
      <w:pPr>
        <w:spacing w:line="560" w:lineRule="exact"/>
        <w:ind w:firstLine="480"/>
        <w:rPr>
          <w:color w:val="auto"/>
          <w:sz w:val="24"/>
          <w:highlight w:val="none"/>
        </w:rPr>
      </w:pPr>
      <w:r>
        <w:rPr>
          <w:rFonts w:hint="eastAsia"/>
          <w:color w:val="auto"/>
          <w:sz w:val="24"/>
          <w:highlight w:val="none"/>
        </w:rPr>
        <w:t>1</w:t>
      </w:r>
      <w:r>
        <w:rPr>
          <w:rFonts w:hint="eastAsia"/>
          <w:color w:val="auto"/>
          <w:sz w:val="24"/>
          <w:highlight w:val="none"/>
          <w:lang w:val="en-US" w:eastAsia="zh-CN"/>
        </w:rPr>
        <w:t>6</w:t>
      </w:r>
      <w:r>
        <w:rPr>
          <w:rFonts w:hint="eastAsia"/>
          <w:color w:val="auto"/>
          <w:sz w:val="24"/>
          <w:highlight w:val="none"/>
        </w:rPr>
        <w:t xml:space="preserve">.2中标人的投标文件作为项目合同的附件，其有效期至中标人全部合同义务履行完毕为止。 </w:t>
      </w:r>
    </w:p>
    <w:p w14:paraId="5B266A7C">
      <w:pPr>
        <w:pStyle w:val="185"/>
        <w:spacing w:before="0" w:after="0" w:line="560" w:lineRule="exact"/>
        <w:ind w:firstLine="482"/>
        <w:rPr>
          <w:color w:val="auto"/>
          <w:highlight w:val="none"/>
        </w:rPr>
      </w:pPr>
      <w:bookmarkStart w:id="128" w:name="_Hlt26954739"/>
      <w:bookmarkEnd w:id="128"/>
      <w:bookmarkStart w:id="129" w:name="_Hlt26954852"/>
      <w:bookmarkEnd w:id="129"/>
      <w:bookmarkStart w:id="130" w:name="_Toc20823296"/>
      <w:bookmarkStart w:id="131" w:name="_Toc120614217"/>
      <w:bookmarkStart w:id="132" w:name="_Toc513029224"/>
      <w:bookmarkStart w:id="133" w:name="_Toc16938540"/>
      <w:r>
        <w:rPr>
          <w:rFonts w:hint="eastAsia"/>
          <w:color w:val="auto"/>
          <w:highlight w:val="none"/>
        </w:rPr>
        <w:t>四、投标文件的递交</w:t>
      </w:r>
      <w:bookmarkEnd w:id="130"/>
      <w:bookmarkEnd w:id="131"/>
      <w:bookmarkEnd w:id="132"/>
      <w:bookmarkEnd w:id="133"/>
    </w:p>
    <w:p w14:paraId="1DEE5ABD">
      <w:pPr>
        <w:pStyle w:val="187"/>
        <w:spacing w:before="0" w:after="0" w:line="560" w:lineRule="exact"/>
        <w:ind w:firstLine="560"/>
        <w:rPr>
          <w:rFonts w:ascii="Times New Roman" w:hAnsi="Times New Roman"/>
          <w:b w:val="0"/>
          <w:bCs w:val="0"/>
          <w:color w:val="auto"/>
          <w:highlight w:val="none"/>
        </w:rPr>
      </w:pPr>
      <w:bookmarkStart w:id="134" w:name="_Toc513029225"/>
      <w:bookmarkStart w:id="135" w:name="_Toc462564084"/>
      <w:bookmarkStart w:id="136" w:name="_Toc16938541"/>
      <w:bookmarkStart w:id="137" w:name="_Toc20823297"/>
      <w:r>
        <w:rPr>
          <w:rFonts w:hint="eastAsia" w:ascii="Times New Roman" w:hAnsi="Times New Roman"/>
          <w:b w:val="0"/>
          <w:bCs w:val="0"/>
          <w:color w:val="auto"/>
          <w:highlight w:val="none"/>
        </w:rPr>
        <w:t>1</w:t>
      </w:r>
      <w:r>
        <w:rPr>
          <w:rFonts w:hint="eastAsia" w:ascii="Times New Roman" w:hAnsi="Times New Roman"/>
          <w:b w:val="0"/>
          <w:bCs w:val="0"/>
          <w:color w:val="auto"/>
          <w:highlight w:val="none"/>
          <w:lang w:val="en-US" w:eastAsia="zh-CN"/>
        </w:rPr>
        <w:t>7</w:t>
      </w:r>
      <w:r>
        <w:rPr>
          <w:rFonts w:hint="eastAsia" w:ascii="Times New Roman" w:hAnsi="Times New Roman"/>
          <w:b w:val="0"/>
          <w:bCs w:val="0"/>
          <w:color w:val="auto"/>
          <w:highlight w:val="none"/>
        </w:rPr>
        <w:t>、投标文件</w:t>
      </w:r>
      <w:bookmarkEnd w:id="134"/>
      <w:bookmarkEnd w:id="135"/>
      <w:bookmarkEnd w:id="136"/>
      <w:bookmarkEnd w:id="137"/>
      <w:r>
        <w:rPr>
          <w:rFonts w:hint="eastAsia" w:ascii="Times New Roman" w:hAnsi="Times New Roman"/>
          <w:b w:val="0"/>
          <w:bCs w:val="0"/>
          <w:color w:val="auto"/>
          <w:highlight w:val="none"/>
        </w:rPr>
        <w:t>的递交</w:t>
      </w:r>
    </w:p>
    <w:p w14:paraId="6383F530">
      <w:pPr>
        <w:spacing w:line="560" w:lineRule="exact"/>
        <w:ind w:firstLine="480"/>
        <w:rPr>
          <w:color w:val="auto"/>
          <w:sz w:val="24"/>
          <w:highlight w:val="none"/>
        </w:rPr>
      </w:pPr>
      <w:r>
        <w:rPr>
          <w:rFonts w:hint="eastAsia"/>
          <w:color w:val="auto"/>
          <w:sz w:val="24"/>
          <w:highlight w:val="none"/>
        </w:rPr>
        <w:t>1</w:t>
      </w:r>
      <w:r>
        <w:rPr>
          <w:rFonts w:hint="eastAsia"/>
          <w:color w:val="auto"/>
          <w:sz w:val="24"/>
          <w:highlight w:val="none"/>
          <w:lang w:val="en-US" w:eastAsia="zh-CN"/>
        </w:rPr>
        <w:t>7</w:t>
      </w:r>
      <w:r>
        <w:rPr>
          <w:rFonts w:hint="eastAsia"/>
          <w:color w:val="auto"/>
          <w:sz w:val="24"/>
          <w:highlight w:val="none"/>
        </w:rPr>
        <w:t>.1投标人应当按照《操作手册》规定，在投标截止时间前制作并上传电子投标文件。</w:t>
      </w:r>
      <w:bookmarkStart w:id="138" w:name="_Toc20823298"/>
      <w:bookmarkStart w:id="139" w:name="_Toc513029226"/>
      <w:bookmarkStart w:id="140" w:name="_Toc16938542"/>
    </w:p>
    <w:p w14:paraId="3DAD6668">
      <w:pPr>
        <w:spacing w:line="560" w:lineRule="exact"/>
        <w:ind w:firstLine="480"/>
        <w:rPr>
          <w:color w:val="auto"/>
          <w:sz w:val="24"/>
          <w:highlight w:val="none"/>
        </w:rPr>
      </w:pPr>
      <w:r>
        <w:rPr>
          <w:rFonts w:hint="eastAsia"/>
          <w:color w:val="auto"/>
          <w:sz w:val="24"/>
          <w:highlight w:val="none"/>
        </w:rPr>
        <w:t>1</w:t>
      </w:r>
      <w:r>
        <w:rPr>
          <w:rFonts w:hint="eastAsia"/>
          <w:color w:val="auto"/>
          <w:sz w:val="24"/>
          <w:highlight w:val="none"/>
          <w:lang w:val="en-US" w:eastAsia="zh-CN"/>
        </w:rPr>
        <w:t>7</w:t>
      </w:r>
      <w:r>
        <w:rPr>
          <w:rFonts w:hint="eastAsia"/>
          <w:color w:val="auto"/>
          <w:sz w:val="24"/>
          <w:highlight w:val="none"/>
        </w:rPr>
        <w:t>.2投标人通过“苏采云”系统不见面开标大厅在线参与开标活动。（具体操作详见《“苏采云”系统投标人操作手册》，网址链接</w:t>
      </w:r>
      <w:r>
        <w:rPr>
          <w:rFonts w:hint="eastAsia"/>
          <w:color w:val="auto"/>
          <w:sz w:val="22"/>
          <w:szCs w:val="20"/>
          <w:highlight w:val="none"/>
        </w:rPr>
        <w:t>http://www.ccgp-jiangsu.gov.cn//webfile/jiangsu/202311/1699268553318052447.pdf）</w:t>
      </w:r>
    </w:p>
    <w:p w14:paraId="3BCAB592">
      <w:pPr>
        <w:pStyle w:val="187"/>
        <w:spacing w:before="0" w:after="0" w:line="560" w:lineRule="exact"/>
        <w:ind w:firstLine="420"/>
        <w:rPr>
          <w:rFonts w:ascii="Times New Roman" w:hAnsi="Times New Roman"/>
          <w:b w:val="0"/>
          <w:color w:val="auto"/>
          <w:highlight w:val="none"/>
        </w:rPr>
      </w:pPr>
      <w:r>
        <w:rPr>
          <w:rFonts w:hint="eastAsia" w:ascii="Times New Roman" w:hAnsi="Times New Roman"/>
          <w:b w:val="0"/>
          <w:color w:val="auto"/>
          <w:highlight w:val="none"/>
        </w:rPr>
        <w:t>1</w:t>
      </w:r>
      <w:r>
        <w:rPr>
          <w:rFonts w:hint="eastAsia" w:ascii="Times New Roman" w:hAnsi="Times New Roman"/>
          <w:b w:val="0"/>
          <w:color w:val="auto"/>
          <w:highlight w:val="none"/>
          <w:lang w:val="en-US" w:eastAsia="zh-CN"/>
        </w:rPr>
        <w:t>8</w:t>
      </w:r>
      <w:r>
        <w:rPr>
          <w:rFonts w:hint="eastAsia" w:ascii="Times New Roman" w:hAnsi="Times New Roman"/>
          <w:b w:val="0"/>
          <w:color w:val="auto"/>
          <w:highlight w:val="none"/>
        </w:rPr>
        <w:t>、投标截止</w:t>
      </w:r>
      <w:bookmarkEnd w:id="138"/>
      <w:bookmarkEnd w:id="139"/>
      <w:bookmarkEnd w:id="140"/>
      <w:r>
        <w:rPr>
          <w:rFonts w:hint="eastAsia" w:ascii="Times New Roman" w:hAnsi="Times New Roman"/>
          <w:b w:val="0"/>
          <w:color w:val="auto"/>
          <w:highlight w:val="none"/>
        </w:rPr>
        <w:t>时间</w:t>
      </w:r>
    </w:p>
    <w:p w14:paraId="6C6C4DD0">
      <w:pPr>
        <w:spacing w:line="560" w:lineRule="exact"/>
        <w:ind w:firstLine="480"/>
        <w:rPr>
          <w:iCs/>
          <w:color w:val="auto"/>
          <w:sz w:val="24"/>
          <w:highlight w:val="none"/>
        </w:rPr>
      </w:pPr>
      <w:r>
        <w:rPr>
          <w:rFonts w:hint="eastAsia"/>
          <w:iCs/>
          <w:color w:val="auto"/>
          <w:sz w:val="24"/>
          <w:highlight w:val="none"/>
        </w:rPr>
        <w:t>1</w:t>
      </w:r>
      <w:r>
        <w:rPr>
          <w:rFonts w:hint="eastAsia"/>
          <w:iCs/>
          <w:color w:val="auto"/>
          <w:sz w:val="24"/>
          <w:highlight w:val="none"/>
          <w:lang w:val="en-US" w:eastAsia="zh-CN"/>
        </w:rPr>
        <w:t>8</w:t>
      </w:r>
      <w:r>
        <w:rPr>
          <w:rFonts w:hint="eastAsia"/>
          <w:iCs/>
          <w:color w:val="auto"/>
          <w:sz w:val="24"/>
          <w:highlight w:val="none"/>
        </w:rPr>
        <w:t>.1 投标人上传电子投标文件的时间不得迟于招标公告中规定的投标截止时间。</w:t>
      </w:r>
    </w:p>
    <w:p w14:paraId="43E37AAA">
      <w:pPr>
        <w:spacing w:line="560" w:lineRule="exact"/>
        <w:ind w:firstLine="480"/>
        <w:rPr>
          <w:rFonts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投标人应充分考虑到网络环境、网络带宽等风险因素，如因投标人自身原因造成的电子投标文件上传不成功的按照本招标文件第二章第27.1.2条规定做无效投标处理。</w:t>
      </w:r>
    </w:p>
    <w:p w14:paraId="114378FA">
      <w:pPr>
        <w:spacing w:line="560" w:lineRule="exact"/>
        <w:ind w:firstLine="480"/>
        <w:rPr>
          <w:bCs/>
          <w:color w:val="auto"/>
          <w:sz w:val="24"/>
          <w:highlight w:val="none"/>
        </w:rPr>
      </w:pPr>
      <w:r>
        <w:rPr>
          <w:rFonts w:hint="eastAsia"/>
          <w:color w:val="auto"/>
          <w:sz w:val="24"/>
          <w:highlight w:val="none"/>
        </w:rPr>
        <w:t>1</w:t>
      </w:r>
      <w:r>
        <w:rPr>
          <w:rFonts w:hint="eastAsia"/>
          <w:color w:val="auto"/>
          <w:sz w:val="24"/>
          <w:highlight w:val="none"/>
          <w:lang w:val="en-US" w:eastAsia="zh-CN"/>
        </w:rPr>
        <w:t>8</w:t>
      </w:r>
      <w:r>
        <w:rPr>
          <w:rFonts w:hint="eastAsia"/>
          <w:color w:val="auto"/>
          <w:sz w:val="24"/>
          <w:highlight w:val="none"/>
        </w:rPr>
        <w:t>.2</w:t>
      </w:r>
      <w:r>
        <w:rPr>
          <w:rFonts w:hint="eastAsia"/>
          <w:bCs/>
          <w:color w:val="auto"/>
          <w:sz w:val="24"/>
          <w:highlight w:val="none"/>
        </w:rPr>
        <w:t>采购代理机构可以按照规定，通过修改招标文件酌情延长投标截止时间，在此情况下，投标人的所有权利和义务以及投标人受制的截止时间均应以延长后新的截止时间为准。</w:t>
      </w:r>
    </w:p>
    <w:p w14:paraId="0828F4F3">
      <w:pPr>
        <w:pStyle w:val="187"/>
        <w:spacing w:before="0" w:after="0" w:line="560" w:lineRule="exact"/>
        <w:ind w:firstLine="420"/>
        <w:rPr>
          <w:rFonts w:ascii="Times New Roman" w:hAnsi="Times New Roman"/>
          <w:b w:val="0"/>
          <w:bCs w:val="0"/>
          <w:color w:val="auto"/>
          <w:highlight w:val="none"/>
        </w:rPr>
      </w:pPr>
      <w:bookmarkStart w:id="141" w:name="_Toc16938543"/>
      <w:bookmarkStart w:id="142" w:name="_Toc20823299"/>
      <w:bookmarkStart w:id="143" w:name="_Toc513029227"/>
      <w:r>
        <w:rPr>
          <w:rFonts w:hint="eastAsia" w:ascii="Times New Roman" w:hAnsi="Times New Roman"/>
          <w:b w:val="0"/>
          <w:bCs w:val="0"/>
          <w:color w:val="auto"/>
          <w:highlight w:val="none"/>
          <w:lang w:val="en-US" w:eastAsia="zh-CN"/>
        </w:rPr>
        <w:t>19</w:t>
      </w:r>
      <w:r>
        <w:rPr>
          <w:rFonts w:hint="eastAsia" w:ascii="Times New Roman" w:hAnsi="Times New Roman"/>
          <w:b w:val="0"/>
          <w:bCs w:val="0"/>
          <w:color w:val="auto"/>
          <w:highlight w:val="none"/>
        </w:rPr>
        <w:t>、投标文件</w:t>
      </w:r>
      <w:bookmarkEnd w:id="141"/>
      <w:bookmarkEnd w:id="142"/>
      <w:bookmarkEnd w:id="143"/>
      <w:r>
        <w:rPr>
          <w:rFonts w:hint="eastAsia" w:ascii="Times New Roman" w:hAnsi="Times New Roman"/>
          <w:b w:val="0"/>
          <w:bCs w:val="0"/>
          <w:color w:val="auto"/>
          <w:highlight w:val="none"/>
        </w:rPr>
        <w:t>的拒收</w:t>
      </w:r>
    </w:p>
    <w:p w14:paraId="1AF17440">
      <w:pPr>
        <w:spacing w:line="560" w:lineRule="exact"/>
        <w:ind w:firstLine="480"/>
        <w:rPr>
          <w:bCs/>
          <w:color w:val="auto"/>
          <w:sz w:val="24"/>
          <w:highlight w:val="none"/>
        </w:rPr>
      </w:pPr>
      <w:r>
        <w:rPr>
          <w:rFonts w:hint="eastAsia"/>
          <w:color w:val="auto"/>
          <w:sz w:val="24"/>
          <w:highlight w:val="none"/>
          <w:lang w:val="en-US" w:eastAsia="zh-CN"/>
        </w:rPr>
        <w:t>19</w:t>
      </w:r>
      <w:r>
        <w:rPr>
          <w:rFonts w:hint="eastAsia"/>
          <w:color w:val="auto"/>
          <w:sz w:val="24"/>
          <w:highlight w:val="none"/>
        </w:rPr>
        <w:t>.1</w:t>
      </w:r>
      <w:r>
        <w:rPr>
          <w:rFonts w:hint="eastAsia"/>
          <w:bCs/>
          <w:color w:val="auto"/>
          <w:sz w:val="24"/>
          <w:highlight w:val="none"/>
        </w:rPr>
        <w:t>采购代理机构拒绝接收在其规定的投标截止时间后上传的任何投标文件。</w:t>
      </w:r>
    </w:p>
    <w:p w14:paraId="453C4DE9">
      <w:pPr>
        <w:pStyle w:val="187"/>
        <w:spacing w:before="0" w:after="0" w:line="560" w:lineRule="exact"/>
        <w:ind w:firstLine="420"/>
        <w:rPr>
          <w:rFonts w:ascii="Times New Roman" w:hAnsi="Times New Roman"/>
          <w:b w:val="0"/>
          <w:bCs w:val="0"/>
          <w:color w:val="auto"/>
          <w:highlight w:val="none"/>
        </w:rPr>
      </w:pPr>
      <w:bookmarkStart w:id="144" w:name="_Toc20823300"/>
      <w:bookmarkStart w:id="145" w:name="_Toc16938544"/>
      <w:bookmarkStart w:id="146" w:name="_Toc513029228"/>
      <w:bookmarkStart w:id="147" w:name="_Toc16938545"/>
      <w:bookmarkStart w:id="148" w:name="_Toc513029229"/>
      <w:bookmarkStart w:id="149" w:name="_Toc20823301"/>
      <w:bookmarkStart w:id="150" w:name="_Toc120614218"/>
      <w:r>
        <w:rPr>
          <w:rFonts w:hint="eastAsia" w:ascii="Times New Roman" w:hAnsi="Times New Roman"/>
          <w:b w:val="0"/>
          <w:bCs w:val="0"/>
          <w:color w:val="auto"/>
          <w:highlight w:val="none"/>
        </w:rPr>
        <w:t>2</w:t>
      </w:r>
      <w:r>
        <w:rPr>
          <w:rFonts w:hint="eastAsia" w:ascii="Times New Roman" w:hAnsi="Times New Roman"/>
          <w:b w:val="0"/>
          <w:bCs w:val="0"/>
          <w:color w:val="auto"/>
          <w:highlight w:val="none"/>
          <w:lang w:val="en-US" w:eastAsia="zh-CN"/>
        </w:rPr>
        <w:t>0</w:t>
      </w:r>
      <w:r>
        <w:rPr>
          <w:rFonts w:hint="eastAsia" w:ascii="Times New Roman" w:hAnsi="Times New Roman"/>
          <w:b w:val="0"/>
          <w:bCs w:val="0"/>
          <w:color w:val="auto"/>
          <w:highlight w:val="none"/>
        </w:rPr>
        <w:t>、投标文件的撤回和修改</w:t>
      </w:r>
      <w:bookmarkEnd w:id="144"/>
      <w:bookmarkEnd w:id="145"/>
      <w:bookmarkEnd w:id="146"/>
    </w:p>
    <w:p w14:paraId="02BD6B49">
      <w:pPr>
        <w:spacing w:line="560" w:lineRule="exact"/>
        <w:ind w:firstLine="480"/>
        <w:rPr>
          <w:color w:val="auto"/>
          <w:sz w:val="24"/>
          <w:highlight w:val="none"/>
        </w:rPr>
      </w:pPr>
      <w:r>
        <w:rPr>
          <w:rFonts w:hint="eastAsia"/>
          <w:color w:val="auto"/>
          <w:sz w:val="24"/>
          <w:highlight w:val="none"/>
        </w:rPr>
        <w:t>2</w:t>
      </w:r>
      <w:r>
        <w:rPr>
          <w:rFonts w:hint="eastAsia"/>
          <w:color w:val="auto"/>
          <w:sz w:val="24"/>
          <w:highlight w:val="none"/>
          <w:lang w:val="en-US" w:eastAsia="zh-CN"/>
        </w:rPr>
        <w:t>0</w:t>
      </w:r>
      <w:r>
        <w:rPr>
          <w:rFonts w:hint="eastAsia"/>
          <w:color w:val="auto"/>
          <w:sz w:val="24"/>
          <w:highlight w:val="none"/>
        </w:rPr>
        <w:t>.1 投标文件的撤回</w:t>
      </w:r>
    </w:p>
    <w:p w14:paraId="2234A908">
      <w:pPr>
        <w:spacing w:line="560" w:lineRule="exact"/>
        <w:ind w:firstLine="480"/>
        <w:rPr>
          <w:color w:val="auto"/>
          <w:sz w:val="24"/>
          <w:highlight w:val="none"/>
        </w:rPr>
      </w:pPr>
      <w:r>
        <w:rPr>
          <w:rFonts w:hint="eastAsia"/>
          <w:color w:val="auto"/>
          <w:sz w:val="24"/>
          <w:highlight w:val="none"/>
        </w:rPr>
        <w:t>2</w:t>
      </w:r>
      <w:r>
        <w:rPr>
          <w:rFonts w:hint="eastAsia"/>
          <w:color w:val="auto"/>
          <w:sz w:val="24"/>
          <w:highlight w:val="none"/>
          <w:lang w:val="en-US" w:eastAsia="zh-CN"/>
        </w:rPr>
        <w:t>0</w:t>
      </w:r>
      <w:r>
        <w:rPr>
          <w:rFonts w:hint="eastAsia"/>
          <w:color w:val="auto"/>
          <w:sz w:val="24"/>
          <w:highlight w:val="none"/>
        </w:rPr>
        <w:t>.1.1 电子投标文件的撤回</w:t>
      </w:r>
    </w:p>
    <w:p w14:paraId="74AF6BF5">
      <w:pPr>
        <w:spacing w:line="560" w:lineRule="exact"/>
        <w:ind w:firstLine="480"/>
        <w:rPr>
          <w:color w:val="auto"/>
          <w:sz w:val="24"/>
          <w:highlight w:val="none"/>
        </w:rPr>
      </w:pPr>
      <w:r>
        <w:rPr>
          <w:rFonts w:hint="eastAsia"/>
          <w:color w:val="auto"/>
          <w:sz w:val="24"/>
          <w:highlight w:val="none"/>
        </w:rPr>
        <w:t>投标人可在投标截止时间前，撤回其电子投标文件，具体操作方法见《操作手册》。</w:t>
      </w:r>
    </w:p>
    <w:p w14:paraId="40DCC1FC">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20.1.2 投标人撤回电子投标文件，则认为其不再参与本项目投标活动。</w:t>
      </w:r>
    </w:p>
    <w:p w14:paraId="4F3E6622">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4DDA6F6F">
      <w:pPr>
        <w:keepNext w:val="0"/>
        <w:keepLines w:val="0"/>
        <w:pageBreakBefore w:val="0"/>
        <w:widowControl w:val="0"/>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374A3A51">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 xml:space="preserve"> 在投标截止时间之后，投标人不得对其电子投标文件作任何修改。</w:t>
      </w:r>
    </w:p>
    <w:p w14:paraId="3BC93278">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 xml:space="preserve"> 在投标截止时间至招标文件中规定的投标有效期满之间的这段时间内，投标人不得撤回其投标。</w:t>
      </w:r>
    </w:p>
    <w:p w14:paraId="1540390B">
      <w:pPr>
        <w:pStyle w:val="185"/>
        <w:spacing w:before="0" w:after="0" w:line="560" w:lineRule="exact"/>
        <w:ind w:firstLine="482"/>
        <w:rPr>
          <w:color w:val="auto"/>
          <w:highlight w:val="none"/>
        </w:rPr>
      </w:pPr>
      <w:r>
        <w:rPr>
          <w:rFonts w:hint="eastAsia"/>
          <w:color w:val="auto"/>
          <w:highlight w:val="none"/>
        </w:rPr>
        <w:t>五、开标与评标</w:t>
      </w:r>
      <w:bookmarkEnd w:id="147"/>
      <w:bookmarkEnd w:id="148"/>
      <w:bookmarkEnd w:id="149"/>
      <w:bookmarkEnd w:id="150"/>
    </w:p>
    <w:p w14:paraId="328BCA2B">
      <w:pPr>
        <w:pStyle w:val="187"/>
        <w:spacing w:before="0" w:after="0" w:line="560" w:lineRule="exact"/>
        <w:ind w:firstLine="420"/>
        <w:rPr>
          <w:rFonts w:ascii="Times New Roman" w:hAnsi="Times New Roman"/>
          <w:b w:val="0"/>
          <w:bCs w:val="0"/>
          <w:color w:val="auto"/>
          <w:highlight w:val="none"/>
        </w:rPr>
      </w:pPr>
      <w:bookmarkStart w:id="151" w:name="_Toc513029230"/>
      <w:bookmarkStart w:id="152" w:name="_Toc16938546"/>
      <w:bookmarkStart w:id="153" w:name="_Toc20823302"/>
      <w:bookmarkStart w:id="154" w:name="_Toc16938547"/>
      <w:bookmarkStart w:id="155" w:name="_Toc20823303"/>
      <w:bookmarkStart w:id="156" w:name="_Toc513029231"/>
      <w:r>
        <w:rPr>
          <w:rFonts w:hint="eastAsia" w:ascii="Times New Roman" w:hAnsi="Times New Roman"/>
          <w:b w:val="0"/>
          <w:bCs w:val="0"/>
          <w:color w:val="auto"/>
          <w:highlight w:val="none"/>
        </w:rPr>
        <w:t>2</w:t>
      </w:r>
      <w:r>
        <w:rPr>
          <w:rFonts w:hint="eastAsia" w:ascii="Times New Roman" w:hAnsi="Times New Roman"/>
          <w:b w:val="0"/>
          <w:bCs w:val="0"/>
          <w:color w:val="auto"/>
          <w:highlight w:val="none"/>
          <w:lang w:val="en-US" w:eastAsia="zh-CN"/>
        </w:rPr>
        <w:t>1</w:t>
      </w:r>
      <w:r>
        <w:rPr>
          <w:rFonts w:hint="eastAsia" w:ascii="Times New Roman" w:hAnsi="Times New Roman"/>
          <w:b w:val="0"/>
          <w:bCs w:val="0"/>
          <w:color w:val="auto"/>
          <w:highlight w:val="none"/>
        </w:rPr>
        <w:t>、开标</w:t>
      </w:r>
      <w:bookmarkEnd w:id="151"/>
      <w:bookmarkEnd w:id="152"/>
      <w:bookmarkEnd w:id="153"/>
    </w:p>
    <w:p w14:paraId="79C8CDAF">
      <w:pPr>
        <w:pStyle w:val="313"/>
        <w:spacing w:line="560" w:lineRule="exact"/>
        <w:ind w:firstLine="420"/>
        <w:rPr>
          <w:color w:val="auto"/>
          <w:sz w:val="24"/>
          <w:highlight w:val="none"/>
          <w:lang w:val="en-US"/>
        </w:rPr>
      </w:pPr>
      <w:r>
        <w:rPr>
          <w:rFonts w:hint="eastAsia"/>
          <w:color w:val="auto"/>
          <w:sz w:val="24"/>
          <w:highlight w:val="none"/>
        </w:rPr>
        <w:t>2</w:t>
      </w:r>
      <w:r>
        <w:rPr>
          <w:rFonts w:hint="eastAsia"/>
          <w:color w:val="auto"/>
          <w:sz w:val="24"/>
          <w:highlight w:val="none"/>
          <w:lang w:val="en-US" w:eastAsia="zh-CN"/>
        </w:rPr>
        <w:t>1</w:t>
      </w:r>
      <w:r>
        <w:rPr>
          <w:rFonts w:hint="eastAsia"/>
          <w:color w:val="auto"/>
          <w:sz w:val="24"/>
          <w:highlight w:val="none"/>
        </w:rPr>
        <w:t>.1</w:t>
      </w:r>
      <w:r>
        <w:rPr>
          <w:rFonts w:hint="eastAsia"/>
          <w:bCs/>
          <w:color w:val="auto"/>
          <w:sz w:val="24"/>
          <w:highlight w:val="none"/>
        </w:rPr>
        <w:t>采购代理机构将在招标公告中规定的时间和地点组织公开开标</w:t>
      </w:r>
      <w:r>
        <w:rPr>
          <w:rFonts w:hint="eastAsia"/>
          <w:color w:val="auto"/>
          <w:sz w:val="24"/>
          <w:highlight w:val="none"/>
          <w:lang w:val="en-US"/>
        </w:rPr>
        <w:t>。投标人应当按照《“苏采云”系统供应商操作手册》规定，参加开标活动和在“苏采云”系统规定的时间内对投标文件进行解密。</w:t>
      </w:r>
    </w:p>
    <w:p w14:paraId="7BDEF815">
      <w:pPr>
        <w:pStyle w:val="313"/>
        <w:spacing w:line="560" w:lineRule="exact"/>
        <w:ind w:firstLine="420"/>
        <w:rPr>
          <w:color w:val="auto"/>
          <w:sz w:val="24"/>
          <w:szCs w:val="24"/>
          <w:highlight w:val="none"/>
        </w:rPr>
      </w:pPr>
      <w:r>
        <w:rPr>
          <w:rFonts w:hint="eastAsia"/>
          <w:color w:val="auto"/>
          <w:sz w:val="24"/>
          <w:highlight w:val="none"/>
          <w:lang w:val="en-US"/>
        </w:rPr>
        <w:t>2</w:t>
      </w:r>
      <w:r>
        <w:rPr>
          <w:rFonts w:hint="eastAsia"/>
          <w:color w:val="auto"/>
          <w:sz w:val="24"/>
          <w:highlight w:val="none"/>
          <w:lang w:val="en-US" w:eastAsia="zh-CN"/>
        </w:rPr>
        <w:t>2</w:t>
      </w:r>
      <w:r>
        <w:rPr>
          <w:rFonts w:hint="eastAsia"/>
          <w:color w:val="auto"/>
          <w:sz w:val="24"/>
          <w:highlight w:val="none"/>
          <w:lang w:val="en-US"/>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9B21E67">
      <w:pPr>
        <w:spacing w:line="560" w:lineRule="exact"/>
        <w:ind w:firstLine="480"/>
        <w:rPr>
          <w:color w:val="auto"/>
          <w:highlight w:val="none"/>
        </w:rPr>
      </w:pPr>
      <w:r>
        <w:rPr>
          <w:rFonts w:hint="eastAsia"/>
          <w:bCs/>
          <w:color w:val="auto"/>
          <w:sz w:val="24"/>
          <w:highlight w:val="none"/>
        </w:rPr>
        <w:t>2</w:t>
      </w:r>
      <w:r>
        <w:rPr>
          <w:rFonts w:hint="eastAsia"/>
          <w:bCs/>
          <w:color w:val="auto"/>
          <w:sz w:val="24"/>
          <w:highlight w:val="none"/>
          <w:lang w:val="en-US" w:eastAsia="zh-CN"/>
        </w:rPr>
        <w:t>1</w:t>
      </w:r>
      <w:r>
        <w:rPr>
          <w:rFonts w:hint="eastAsia"/>
          <w:bCs/>
          <w:color w:val="auto"/>
          <w:sz w:val="24"/>
          <w:highlight w:val="none"/>
        </w:rPr>
        <w:t>.3投标人在开标过程中涉及到的投标文件解密、开标结果确认等工作，应按照《操作手册》规定执行。</w:t>
      </w:r>
    </w:p>
    <w:p w14:paraId="4624BAD2">
      <w:pPr>
        <w:spacing w:line="560" w:lineRule="exact"/>
        <w:ind w:firstLine="480"/>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1</w:t>
      </w:r>
      <w:r>
        <w:rPr>
          <w:rFonts w:hint="eastAsia"/>
          <w:color w:val="auto"/>
          <w:sz w:val="24"/>
          <w:szCs w:val="24"/>
          <w:highlight w:val="none"/>
        </w:rPr>
        <w:t>.4投标人如果对开标过程和开标记录有疑义，应当根据《操作手册》规定提出，如 “苏采云”系统中《开标记录表》宣布后5分钟内未提出的，视同认可开标结果。</w:t>
      </w:r>
    </w:p>
    <w:p w14:paraId="09463162">
      <w:pPr>
        <w:keepNext/>
        <w:keepLines/>
        <w:spacing w:line="560" w:lineRule="exact"/>
        <w:ind w:firstLine="420"/>
        <w:outlineLvl w:val="3"/>
        <w:rPr>
          <w:rFonts w:eastAsia="黑体" w:cs="Arial"/>
          <w:color w:val="auto"/>
          <w:sz w:val="28"/>
          <w:szCs w:val="28"/>
          <w:highlight w:val="none"/>
        </w:rPr>
      </w:pPr>
      <w:r>
        <w:rPr>
          <w:rFonts w:hint="eastAsia" w:eastAsia="黑体" w:cs="Arial"/>
          <w:color w:val="auto"/>
          <w:sz w:val="28"/>
          <w:szCs w:val="28"/>
          <w:highlight w:val="none"/>
        </w:rPr>
        <w:t>2</w:t>
      </w:r>
      <w:r>
        <w:rPr>
          <w:rFonts w:hint="eastAsia" w:eastAsia="黑体" w:cs="Arial"/>
          <w:color w:val="auto"/>
          <w:sz w:val="28"/>
          <w:szCs w:val="28"/>
          <w:highlight w:val="none"/>
          <w:lang w:val="en-US" w:eastAsia="zh-CN"/>
        </w:rPr>
        <w:t>2</w:t>
      </w:r>
      <w:r>
        <w:rPr>
          <w:rFonts w:hint="eastAsia" w:eastAsia="黑体" w:cs="Arial"/>
          <w:color w:val="auto"/>
          <w:sz w:val="28"/>
          <w:szCs w:val="28"/>
          <w:highlight w:val="none"/>
        </w:rPr>
        <w:t>、评标委员会</w:t>
      </w:r>
    </w:p>
    <w:p w14:paraId="702B2BAF">
      <w:pPr>
        <w:keepNext/>
        <w:keepLines/>
        <w:spacing w:line="560" w:lineRule="exact"/>
        <w:ind w:firstLine="240"/>
        <w:outlineLvl w:val="3"/>
        <w:rPr>
          <w:rFonts w:hint="eastAsia"/>
          <w:color w:val="auto"/>
          <w:sz w:val="24"/>
          <w:szCs w:val="24"/>
          <w:highlight w:val="none"/>
        </w:rPr>
      </w:pPr>
      <w:r>
        <w:rPr>
          <w:rFonts w:hint="eastAsia"/>
          <w:color w:val="auto"/>
          <w:sz w:val="24"/>
          <w:szCs w:val="24"/>
          <w:highlight w:val="none"/>
        </w:rPr>
        <w:t xml:space="preserve"> 2</w:t>
      </w:r>
      <w:r>
        <w:rPr>
          <w:rFonts w:hint="eastAsia"/>
          <w:color w:val="auto"/>
          <w:sz w:val="24"/>
          <w:szCs w:val="24"/>
          <w:highlight w:val="none"/>
          <w:lang w:val="en-US" w:eastAsia="zh-CN"/>
        </w:rPr>
        <w:t>2</w:t>
      </w:r>
      <w:r>
        <w:rPr>
          <w:rFonts w:hint="eastAsia"/>
          <w:color w:val="auto"/>
          <w:sz w:val="24"/>
          <w:szCs w:val="24"/>
          <w:highlight w:val="none"/>
        </w:rPr>
        <w:t>.1开标后，采购代理机构将立即组织评标委员会（以下简称评委会）进行评标。</w:t>
      </w:r>
    </w:p>
    <w:p w14:paraId="5C8B9633">
      <w:pPr>
        <w:keepNext/>
        <w:keepLines/>
        <w:spacing w:line="560" w:lineRule="exact"/>
        <w:ind w:firstLine="240"/>
        <w:outlineLvl w:val="3"/>
        <w:rPr>
          <w:rFonts w:hint="eastAsia"/>
          <w:color w:val="auto"/>
          <w:sz w:val="24"/>
          <w:szCs w:val="24"/>
          <w:highlight w:val="none"/>
        </w:rPr>
      </w:pPr>
      <w:r>
        <w:rPr>
          <w:rFonts w:hint="eastAsia"/>
          <w:color w:val="auto"/>
          <w:sz w:val="24"/>
          <w:szCs w:val="24"/>
          <w:highlight w:val="none"/>
        </w:rPr>
        <w:t xml:space="preserve"> 2</w:t>
      </w:r>
      <w:r>
        <w:rPr>
          <w:rFonts w:hint="eastAsia"/>
          <w:color w:val="auto"/>
          <w:sz w:val="24"/>
          <w:szCs w:val="24"/>
          <w:highlight w:val="none"/>
          <w:lang w:val="en-US" w:eastAsia="zh-CN"/>
        </w:rPr>
        <w:t>2</w:t>
      </w:r>
      <w:r>
        <w:rPr>
          <w:rFonts w:hint="eastAsia"/>
          <w:color w:val="auto"/>
          <w:sz w:val="24"/>
          <w:szCs w:val="24"/>
          <w:highlight w:val="none"/>
        </w:rPr>
        <w:t>.2 评委会由采购人代表和有关技术、经济等方面的专家组成，且人员构成符合政府采购有关规定。</w:t>
      </w:r>
    </w:p>
    <w:p w14:paraId="4BB64C9C">
      <w:pPr>
        <w:keepNext/>
        <w:keepLines/>
        <w:spacing w:line="560" w:lineRule="exact"/>
        <w:ind w:firstLine="240"/>
        <w:outlineLvl w:val="3"/>
        <w:rPr>
          <w:color w:val="auto"/>
          <w:sz w:val="24"/>
          <w:szCs w:val="24"/>
          <w:highlight w:val="none"/>
        </w:rPr>
      </w:pPr>
      <w:r>
        <w:rPr>
          <w:rFonts w:hint="eastAsia"/>
          <w:color w:val="auto"/>
          <w:sz w:val="24"/>
          <w:szCs w:val="24"/>
          <w:highlight w:val="none"/>
        </w:rPr>
        <w:t xml:space="preserve"> 2</w:t>
      </w:r>
      <w:r>
        <w:rPr>
          <w:rFonts w:hint="eastAsia"/>
          <w:color w:val="auto"/>
          <w:sz w:val="24"/>
          <w:szCs w:val="24"/>
          <w:highlight w:val="none"/>
          <w:lang w:val="en-US" w:eastAsia="zh-CN"/>
        </w:rPr>
        <w:t>2</w:t>
      </w:r>
      <w:r>
        <w:rPr>
          <w:rFonts w:hint="eastAsia"/>
          <w:color w:val="auto"/>
          <w:sz w:val="24"/>
          <w:szCs w:val="24"/>
          <w:highlight w:val="none"/>
        </w:rPr>
        <w:t>.3评委会独立工作，负责评审所有投标文件并确定中标</w:t>
      </w:r>
      <w:r>
        <w:rPr>
          <w:rFonts w:hint="eastAsia"/>
          <w:color w:val="auto"/>
          <w:sz w:val="24"/>
          <w:szCs w:val="24"/>
          <w:highlight w:val="none"/>
          <w:lang w:eastAsia="zh-CN"/>
        </w:rPr>
        <w:t>候</w:t>
      </w:r>
      <w:r>
        <w:rPr>
          <w:rFonts w:hint="eastAsia"/>
          <w:color w:val="auto"/>
          <w:sz w:val="24"/>
          <w:szCs w:val="24"/>
          <w:highlight w:val="none"/>
        </w:rPr>
        <w:t>选人。</w:t>
      </w:r>
    </w:p>
    <w:bookmarkEnd w:id="154"/>
    <w:bookmarkEnd w:id="155"/>
    <w:bookmarkEnd w:id="156"/>
    <w:p w14:paraId="3912C864">
      <w:pPr>
        <w:keepNext w:val="0"/>
        <w:keepLines w:val="0"/>
        <w:pageBreakBefore w:val="0"/>
        <w:widowControl w:val="0"/>
        <w:spacing w:line="360" w:lineRule="auto"/>
        <w:ind w:firstLine="562"/>
        <w:jc w:val="left"/>
        <w:outlineLvl w:val="9"/>
        <w:rPr>
          <w:rFonts w:hint="eastAsia" w:ascii="宋体" w:hAnsi="宋体" w:eastAsia="宋体" w:cs="宋体"/>
          <w:b/>
          <w:bCs/>
          <w:color w:val="auto"/>
          <w:sz w:val="28"/>
          <w:szCs w:val="28"/>
          <w:highlight w:val="none"/>
        </w:rPr>
      </w:pPr>
      <w:bookmarkStart w:id="157" w:name="_Toc16938549"/>
      <w:bookmarkStart w:id="158" w:name="_Toc513029233"/>
      <w:bookmarkStart w:id="159" w:name="_Toc20823305"/>
      <w:r>
        <w:rPr>
          <w:rFonts w:hint="eastAsia" w:ascii="宋体" w:hAnsi="宋体" w:eastAsia="宋体" w:cs="宋体"/>
          <w:b/>
          <w:bCs/>
          <w:color w:val="auto"/>
          <w:sz w:val="28"/>
          <w:szCs w:val="28"/>
          <w:highlight w:val="none"/>
        </w:rPr>
        <w:t>23、评标过程的保密与公正</w:t>
      </w:r>
    </w:p>
    <w:p w14:paraId="1F6B8880">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bCs/>
          <w:color w:val="auto"/>
          <w:sz w:val="24"/>
          <w:highlight w:val="none"/>
        </w:rPr>
        <w:t>凡是与审查、澄清、评价和比较投标的有关资料以及授标建议等，采购人、评委、采购代理机构均不得向投标人或与评标无关的其他人员透露。</w:t>
      </w:r>
    </w:p>
    <w:p w14:paraId="26CA2F04">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144657E7">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采购代理机构和评委会不向未中标的投标人解释未中标原因，也不公布评标过程中的相关细节。</w:t>
      </w:r>
    </w:p>
    <w:p w14:paraId="7B2B5756">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 采用综合评分法的项目，未中标的投标人可于中标结果公告期限届满之日起通过“苏采云”系统查看自己的评审得分及排序情况。</w:t>
      </w:r>
    </w:p>
    <w:p w14:paraId="607BCAD5">
      <w:pPr>
        <w:keepNext w:val="0"/>
        <w:keepLines w:val="0"/>
        <w:pageBreakBefore w:val="0"/>
        <w:widowControl w:val="0"/>
        <w:spacing w:line="360" w:lineRule="auto"/>
        <w:ind w:firstLine="562"/>
        <w:jc w:val="left"/>
        <w:outlineLvl w:val="9"/>
        <w:rPr>
          <w:rFonts w:hint="eastAsia" w:ascii="宋体" w:hAnsi="宋体" w:eastAsia="宋体" w:cs="宋体"/>
          <w:b/>
          <w:bCs/>
          <w:color w:val="auto"/>
          <w:sz w:val="28"/>
          <w:szCs w:val="28"/>
          <w:highlight w:val="none"/>
        </w:rPr>
      </w:pPr>
      <w:bookmarkStart w:id="160" w:name="_Toc513029232"/>
      <w:bookmarkStart w:id="161" w:name="_Toc16938548"/>
      <w:bookmarkStart w:id="162" w:name="_Toc20823304"/>
      <w:r>
        <w:rPr>
          <w:rFonts w:hint="eastAsia" w:ascii="宋体" w:hAnsi="宋体" w:eastAsia="宋体" w:cs="宋体"/>
          <w:b/>
          <w:bCs/>
          <w:color w:val="auto"/>
          <w:sz w:val="28"/>
          <w:szCs w:val="28"/>
          <w:highlight w:val="none"/>
        </w:rPr>
        <w:t>24、投标文件的澄清</w:t>
      </w:r>
      <w:bookmarkEnd w:id="160"/>
      <w:bookmarkEnd w:id="161"/>
      <w:bookmarkEnd w:id="162"/>
    </w:p>
    <w:p w14:paraId="430BA3AB">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5DFC2F1F">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5C05B0F5">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评委会并非对每个投标人都做澄清要求。</w:t>
      </w:r>
    </w:p>
    <w:p w14:paraId="1BE98B9B">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24.2需要投标人进行澄清、说明和补正的，</w:t>
      </w:r>
      <w:r>
        <w:rPr>
          <w:rFonts w:hint="eastAsia" w:ascii="宋体" w:hAnsi="宋体" w:eastAsia="宋体" w:cs="宋体"/>
          <w:color w:val="auto"/>
          <w:sz w:val="24"/>
          <w:szCs w:val="21"/>
          <w:highlight w:val="none"/>
          <w:lang w:val="en-US" w:eastAsia="zh-CN" w:bidi="ar-SA"/>
        </w:rPr>
        <w:t>本项目投标人的澄清、说明或者补正采用线上澄清，</w:t>
      </w:r>
      <w:r>
        <w:rPr>
          <w:rFonts w:hint="eastAsia" w:ascii="宋体" w:hAnsi="宋体" w:eastAsia="宋体" w:cs="宋体"/>
          <w:color w:val="auto"/>
          <w:sz w:val="24"/>
          <w:szCs w:val="24"/>
          <w:highlight w:val="none"/>
          <w:lang w:val="zh-CN" w:eastAsia="zh-CN" w:bidi="ar-SA"/>
        </w:rPr>
        <w:t>评委会将通过</w:t>
      </w:r>
      <w:r>
        <w:rPr>
          <w:rFonts w:hint="eastAsia" w:ascii="宋体" w:hAnsi="宋体" w:eastAsia="宋体" w:cs="宋体"/>
          <w:color w:val="auto"/>
          <w:sz w:val="24"/>
          <w:szCs w:val="21"/>
          <w:highlight w:val="none"/>
          <w:lang w:val="en-US" w:eastAsia="zh-CN" w:bidi="ar-SA"/>
        </w:rPr>
        <w:t>“苏采云”系统</w:t>
      </w:r>
      <w:r>
        <w:rPr>
          <w:rFonts w:hint="eastAsia" w:ascii="宋体" w:hAnsi="宋体" w:eastAsia="宋体" w:cs="宋体"/>
          <w:color w:val="auto"/>
          <w:sz w:val="24"/>
          <w:szCs w:val="24"/>
          <w:highlight w:val="none"/>
          <w:lang w:val="zh-CN" w:eastAsia="zh-CN" w:bidi="ar-SA"/>
        </w:rPr>
        <w:t>向投标人发出“澄清要求函”，接到“澄清要求函”的投标人应当按照要求</w:t>
      </w:r>
      <w:r>
        <w:rPr>
          <w:rFonts w:hint="eastAsia" w:ascii="宋体" w:hAnsi="宋体" w:eastAsia="宋体" w:cs="宋体"/>
          <w:color w:val="auto"/>
          <w:sz w:val="24"/>
          <w:szCs w:val="21"/>
          <w:highlight w:val="none"/>
          <w:lang w:val="en-US" w:eastAsia="zh-CN" w:bidi="ar-SA"/>
        </w:rPr>
        <w:t>在规定时间内</w:t>
      </w:r>
      <w:r>
        <w:rPr>
          <w:rFonts w:hint="eastAsia" w:ascii="宋体" w:hAnsi="宋体" w:eastAsia="宋体" w:cs="宋体"/>
          <w:color w:val="auto"/>
          <w:sz w:val="24"/>
          <w:szCs w:val="24"/>
          <w:highlight w:val="none"/>
          <w:lang w:val="en-US" w:eastAsia="zh-CN" w:bidi="ar-SA"/>
        </w:rPr>
        <w:t>通过</w:t>
      </w:r>
      <w:r>
        <w:rPr>
          <w:rFonts w:hint="eastAsia" w:ascii="宋体" w:hAnsi="宋体" w:eastAsia="宋体" w:cs="宋体"/>
          <w:color w:val="auto"/>
          <w:sz w:val="24"/>
          <w:szCs w:val="21"/>
          <w:highlight w:val="none"/>
          <w:lang w:val="en-US" w:eastAsia="zh-CN" w:bidi="ar-SA"/>
        </w:rPr>
        <w:t>“苏采云”系统</w:t>
      </w:r>
      <w:r>
        <w:rPr>
          <w:rFonts w:hint="eastAsia" w:ascii="宋体" w:hAnsi="宋体" w:eastAsia="宋体" w:cs="宋体"/>
          <w:color w:val="auto"/>
          <w:sz w:val="24"/>
          <w:szCs w:val="24"/>
          <w:highlight w:val="none"/>
          <w:lang w:val="zh-CN" w:eastAsia="zh-CN" w:bidi="ar-SA"/>
        </w:rPr>
        <w:t>中提交“澄清响应函”并加盖CA电子公章。澄清、说明和补正的内容作为投标文件的补充部分，具体操作方式见《操作手册》。</w:t>
      </w:r>
    </w:p>
    <w:p w14:paraId="09619285">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24.3 接到评委会澄清、说明和补正要求的投标人如未按规定做出澄清、说明和补正，其风险由投标人自行承担。</w:t>
      </w:r>
    </w:p>
    <w:p w14:paraId="62CCB182">
      <w:pPr>
        <w:pStyle w:val="187"/>
        <w:spacing w:before="0" w:after="0" w:line="560" w:lineRule="exact"/>
        <w:ind w:firstLine="420"/>
        <w:rPr>
          <w:rFonts w:ascii="Times New Roman" w:hAnsi="Times New Roman"/>
          <w:b w:val="0"/>
          <w:bCs w:val="0"/>
          <w:color w:val="auto"/>
          <w:highlight w:val="none"/>
        </w:rPr>
      </w:pPr>
      <w:r>
        <w:rPr>
          <w:rFonts w:hint="eastAsia" w:ascii="Times New Roman" w:hAnsi="Times New Roman"/>
          <w:b w:val="0"/>
          <w:bCs w:val="0"/>
          <w:color w:val="auto"/>
          <w:highlight w:val="none"/>
        </w:rPr>
        <w:t>2</w:t>
      </w:r>
      <w:r>
        <w:rPr>
          <w:rFonts w:hint="eastAsia" w:ascii="Times New Roman" w:hAnsi="Times New Roman"/>
          <w:b w:val="0"/>
          <w:bCs w:val="0"/>
          <w:color w:val="auto"/>
          <w:highlight w:val="none"/>
          <w:lang w:val="en-US" w:eastAsia="zh-CN"/>
        </w:rPr>
        <w:t>5</w:t>
      </w:r>
      <w:r>
        <w:rPr>
          <w:rFonts w:hint="eastAsia" w:ascii="Times New Roman" w:hAnsi="Times New Roman"/>
          <w:b w:val="0"/>
          <w:bCs w:val="0"/>
          <w:color w:val="auto"/>
          <w:highlight w:val="none"/>
        </w:rPr>
        <w:t>、对投标文件的初审</w:t>
      </w:r>
      <w:bookmarkEnd w:id="157"/>
      <w:bookmarkEnd w:id="158"/>
      <w:bookmarkEnd w:id="159"/>
    </w:p>
    <w:p w14:paraId="44D4A980">
      <w:pPr>
        <w:spacing w:line="560" w:lineRule="exact"/>
        <w:ind w:firstLine="480"/>
        <w:rPr>
          <w:bCs/>
          <w:color w:val="auto"/>
          <w:sz w:val="24"/>
          <w:highlight w:val="none"/>
        </w:rPr>
      </w:pPr>
      <w:r>
        <w:rPr>
          <w:rFonts w:hint="eastAsia"/>
          <w:color w:val="auto"/>
          <w:sz w:val="24"/>
          <w:highlight w:val="none"/>
        </w:rPr>
        <w:t>2</w:t>
      </w:r>
      <w:r>
        <w:rPr>
          <w:rFonts w:hint="eastAsia"/>
          <w:color w:val="auto"/>
          <w:sz w:val="24"/>
          <w:highlight w:val="none"/>
          <w:lang w:val="en-US" w:eastAsia="zh-CN"/>
        </w:rPr>
        <w:t>5</w:t>
      </w:r>
      <w:r>
        <w:rPr>
          <w:rFonts w:hint="eastAsia"/>
          <w:color w:val="auto"/>
          <w:sz w:val="24"/>
          <w:highlight w:val="none"/>
        </w:rPr>
        <w:t>.1</w:t>
      </w:r>
      <w:r>
        <w:rPr>
          <w:rFonts w:hint="eastAsia"/>
          <w:bCs/>
          <w:color w:val="auto"/>
          <w:sz w:val="24"/>
          <w:highlight w:val="none"/>
        </w:rPr>
        <w:t>投标文件初审分为资格审查和符合性审查。</w:t>
      </w:r>
    </w:p>
    <w:p w14:paraId="3A02C110">
      <w:pPr>
        <w:spacing w:line="560" w:lineRule="exact"/>
        <w:ind w:firstLine="480"/>
        <w:rPr>
          <w:color w:val="auto"/>
          <w:sz w:val="24"/>
          <w:highlight w:val="none"/>
        </w:rPr>
      </w:pPr>
      <w:r>
        <w:rPr>
          <w:rFonts w:hint="eastAsia"/>
          <w:bCs/>
          <w:color w:val="auto"/>
          <w:sz w:val="24"/>
          <w:highlight w:val="none"/>
        </w:rPr>
        <w:t>2</w:t>
      </w:r>
      <w:r>
        <w:rPr>
          <w:rFonts w:hint="eastAsia"/>
          <w:bCs/>
          <w:color w:val="auto"/>
          <w:sz w:val="24"/>
          <w:highlight w:val="none"/>
          <w:lang w:val="en-US" w:eastAsia="zh-CN"/>
        </w:rPr>
        <w:t>5</w:t>
      </w:r>
      <w:r>
        <w:rPr>
          <w:rFonts w:hint="eastAsia"/>
          <w:bCs/>
          <w:color w:val="auto"/>
          <w:sz w:val="24"/>
          <w:highlight w:val="none"/>
        </w:rPr>
        <w:t>.1.1 资格审查：依据法律法规和招标文件的规定，</w:t>
      </w:r>
      <w:r>
        <w:rPr>
          <w:rFonts w:hint="eastAsia"/>
          <w:color w:val="auto"/>
          <w:sz w:val="24"/>
          <w:highlight w:val="none"/>
        </w:rPr>
        <w:t>由采购人对投标文件中的资格证明文件进行审查，以确定投标人是否具备投标资格。</w:t>
      </w:r>
    </w:p>
    <w:p w14:paraId="0016BD50">
      <w:pPr>
        <w:spacing w:line="560" w:lineRule="exact"/>
        <w:ind w:firstLine="480"/>
        <w:rPr>
          <w:bCs/>
          <w:color w:val="auto"/>
          <w:sz w:val="24"/>
          <w:highlight w:val="none"/>
        </w:rPr>
      </w:pPr>
      <w:r>
        <w:rPr>
          <w:rFonts w:hint="eastAsia"/>
          <w:bCs/>
          <w:color w:val="auto"/>
          <w:sz w:val="24"/>
          <w:highlight w:val="none"/>
        </w:rPr>
        <w:t>采购人在进行资格性审查的同时，将在“信用中国”网站（www.creditchina.gov.cn）查询投标人的信用记录，以确定投标人是否具备投标资格,查询结果留存并归档。</w:t>
      </w:r>
    </w:p>
    <w:p w14:paraId="10C1C10C">
      <w:pPr>
        <w:spacing w:line="560" w:lineRule="exact"/>
        <w:ind w:firstLine="480"/>
        <w:rPr>
          <w:bCs/>
          <w:color w:val="auto"/>
          <w:sz w:val="24"/>
          <w:highlight w:val="none"/>
        </w:rPr>
      </w:pPr>
      <w:r>
        <w:rPr>
          <w:rFonts w:hint="eastAsia"/>
          <w:bCs/>
          <w:color w:val="auto"/>
          <w:sz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14:paraId="4178AE17">
      <w:pPr>
        <w:spacing w:line="560" w:lineRule="exact"/>
        <w:ind w:firstLine="480"/>
        <w:rPr>
          <w:bCs/>
          <w:color w:val="auto"/>
          <w:sz w:val="24"/>
          <w:highlight w:val="none"/>
        </w:rPr>
      </w:pPr>
      <w:r>
        <w:rPr>
          <w:rFonts w:hint="eastAsia"/>
          <w:bCs/>
          <w:color w:val="auto"/>
          <w:sz w:val="24"/>
          <w:highlight w:val="none"/>
        </w:rPr>
        <w:t>2</w:t>
      </w:r>
      <w:r>
        <w:rPr>
          <w:rFonts w:hint="eastAsia"/>
          <w:bCs/>
          <w:color w:val="auto"/>
          <w:sz w:val="24"/>
          <w:highlight w:val="none"/>
          <w:lang w:val="en-US" w:eastAsia="zh-CN"/>
        </w:rPr>
        <w:t>5</w:t>
      </w:r>
      <w:r>
        <w:rPr>
          <w:rFonts w:hint="eastAsia"/>
          <w:bCs/>
          <w:color w:val="auto"/>
          <w:sz w:val="24"/>
          <w:highlight w:val="none"/>
        </w:rPr>
        <w:t>.1.2 符合性审查：依据招标文件的规定，由评委会从投标文件的有效性、完整性和对招标文件的响应程度进行审查，以确定是否对招标文件的实质性要求作出响应。</w:t>
      </w:r>
    </w:p>
    <w:p w14:paraId="5BBD89E2">
      <w:pPr>
        <w:spacing w:line="560" w:lineRule="exact"/>
        <w:ind w:firstLine="480"/>
        <w:rPr>
          <w:color w:val="auto"/>
          <w:sz w:val="24"/>
          <w:highlight w:val="none"/>
        </w:rPr>
      </w:pPr>
      <w:r>
        <w:rPr>
          <w:rFonts w:hint="eastAsia"/>
          <w:color w:val="auto"/>
          <w:sz w:val="24"/>
          <w:highlight w:val="none"/>
        </w:rPr>
        <w:t>2</w:t>
      </w:r>
      <w:r>
        <w:rPr>
          <w:rFonts w:hint="eastAsia"/>
          <w:color w:val="auto"/>
          <w:sz w:val="24"/>
          <w:highlight w:val="none"/>
          <w:lang w:val="en-US" w:eastAsia="zh-CN"/>
        </w:rPr>
        <w:t>5</w:t>
      </w:r>
      <w:r>
        <w:rPr>
          <w:rFonts w:hint="eastAsia"/>
          <w:color w:val="auto"/>
          <w:sz w:val="24"/>
          <w:highlight w:val="none"/>
        </w:rPr>
        <w:t>.1.3对各投标人符合性审查过程中，对初步被认定为无效投标者，由评委会组长或采购人代表将集体意见通过</w:t>
      </w:r>
      <w:r>
        <w:rPr>
          <w:rFonts w:hint="eastAsia"/>
          <w:color w:val="auto"/>
          <w:sz w:val="24"/>
          <w:highlight w:val="none"/>
          <w:lang w:val="zh-CN"/>
        </w:rPr>
        <w:t>“苏采云”系统中告知未通过符合性审查的原因，评标结束后，将不再告知未通过符合性审查的原因</w:t>
      </w:r>
      <w:r>
        <w:rPr>
          <w:rFonts w:hint="eastAsia"/>
          <w:color w:val="auto"/>
          <w:sz w:val="24"/>
          <w:highlight w:val="none"/>
        </w:rPr>
        <w:t>。</w:t>
      </w:r>
    </w:p>
    <w:p w14:paraId="57E2C074">
      <w:pPr>
        <w:spacing w:line="560" w:lineRule="exact"/>
        <w:ind w:firstLine="480"/>
        <w:rPr>
          <w:color w:val="auto"/>
          <w:sz w:val="24"/>
          <w:highlight w:val="none"/>
        </w:rPr>
      </w:pPr>
      <w:r>
        <w:rPr>
          <w:rFonts w:hint="eastAsia"/>
          <w:color w:val="auto"/>
          <w:sz w:val="24"/>
          <w:highlight w:val="none"/>
        </w:rPr>
        <w:t>2</w:t>
      </w:r>
      <w:r>
        <w:rPr>
          <w:rFonts w:hint="eastAsia"/>
          <w:color w:val="auto"/>
          <w:sz w:val="24"/>
          <w:highlight w:val="none"/>
          <w:lang w:val="en-US" w:eastAsia="zh-CN"/>
        </w:rPr>
        <w:t>5</w:t>
      </w:r>
      <w:r>
        <w:rPr>
          <w:rFonts w:hint="eastAsia"/>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61CA5C45">
      <w:pPr>
        <w:spacing w:line="560" w:lineRule="exact"/>
        <w:ind w:firstLine="480"/>
        <w:rPr>
          <w:color w:val="auto"/>
          <w:sz w:val="24"/>
          <w:highlight w:val="none"/>
        </w:rPr>
      </w:pPr>
      <w:r>
        <w:rPr>
          <w:rFonts w:hint="eastAsia"/>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50BE24">
      <w:pPr>
        <w:spacing w:line="560" w:lineRule="exact"/>
        <w:ind w:firstLine="480"/>
        <w:rPr>
          <w:color w:val="auto"/>
          <w:sz w:val="24"/>
          <w:highlight w:val="none"/>
        </w:rPr>
      </w:pPr>
      <w:r>
        <w:rPr>
          <w:rFonts w:hint="eastAsia"/>
          <w:color w:val="auto"/>
          <w:sz w:val="24"/>
          <w:highlight w:val="none"/>
        </w:rPr>
        <w:t>2</w:t>
      </w:r>
      <w:r>
        <w:rPr>
          <w:rFonts w:hint="eastAsia"/>
          <w:color w:val="auto"/>
          <w:sz w:val="24"/>
          <w:highlight w:val="none"/>
          <w:lang w:val="en-US" w:eastAsia="zh-CN"/>
        </w:rPr>
        <w:t>5</w:t>
      </w:r>
      <w:r>
        <w:rPr>
          <w:rFonts w:hint="eastAsia"/>
          <w:color w:val="auto"/>
          <w:sz w:val="24"/>
          <w:highlight w:val="none"/>
        </w:rPr>
        <w:t>.3如果投标文件实质上没有响应招标文件的要求，评委会将予以拒绝，投标人不得通过修改或撤销不合要求的偏离或保留而使其投标成为实质性响应的投标。</w:t>
      </w:r>
    </w:p>
    <w:p w14:paraId="3DE2C1BE">
      <w:pPr>
        <w:spacing w:line="560" w:lineRule="exact"/>
        <w:ind w:firstLine="480"/>
        <w:rPr>
          <w:bCs/>
          <w:color w:val="auto"/>
          <w:sz w:val="24"/>
          <w:highlight w:val="none"/>
        </w:rPr>
      </w:pPr>
      <w:r>
        <w:rPr>
          <w:rFonts w:hint="eastAsia"/>
          <w:color w:val="auto"/>
          <w:sz w:val="24"/>
          <w:highlight w:val="none"/>
        </w:rPr>
        <w:t>2</w:t>
      </w:r>
      <w:r>
        <w:rPr>
          <w:rFonts w:hint="eastAsia"/>
          <w:color w:val="auto"/>
          <w:sz w:val="24"/>
          <w:highlight w:val="none"/>
          <w:lang w:val="en-US" w:eastAsia="zh-CN"/>
        </w:rPr>
        <w:t>5</w:t>
      </w:r>
      <w:r>
        <w:rPr>
          <w:rFonts w:hint="eastAsia"/>
          <w:color w:val="auto"/>
          <w:sz w:val="24"/>
          <w:highlight w:val="none"/>
        </w:rPr>
        <w:t>.</w:t>
      </w:r>
      <w:r>
        <w:rPr>
          <w:color w:val="auto"/>
          <w:sz w:val="24"/>
          <w:highlight w:val="none"/>
        </w:rPr>
        <w:t>4</w:t>
      </w:r>
      <w:r>
        <w:rPr>
          <w:rFonts w:hint="eastAsia"/>
          <w:bCs/>
          <w:color w:val="auto"/>
          <w:sz w:val="24"/>
          <w:highlight w:val="none"/>
        </w:rPr>
        <w:t>评委会将对确定为实质性响应的投标进行进一步审核，确定其是否有计算上或累加上的算术错误，修正错误的原则如下：</w:t>
      </w:r>
    </w:p>
    <w:p w14:paraId="4FD2FAEC">
      <w:pPr>
        <w:spacing w:line="560" w:lineRule="exact"/>
        <w:ind w:firstLine="480"/>
        <w:rPr>
          <w:bCs/>
          <w:color w:val="auto"/>
          <w:sz w:val="24"/>
          <w:highlight w:val="none"/>
        </w:rPr>
      </w:pPr>
      <w:r>
        <w:rPr>
          <w:rFonts w:hint="eastAsia"/>
          <w:bCs/>
          <w:color w:val="auto"/>
          <w:sz w:val="24"/>
          <w:highlight w:val="none"/>
        </w:rPr>
        <w:t>（1）投标文件中开标一览表内容与投标文件中相应内容不一致的，以开标一览表为准。</w:t>
      </w:r>
    </w:p>
    <w:p w14:paraId="220ECF04">
      <w:pPr>
        <w:spacing w:line="560" w:lineRule="exact"/>
        <w:ind w:firstLine="480"/>
        <w:rPr>
          <w:bCs/>
          <w:color w:val="auto"/>
          <w:sz w:val="24"/>
          <w:highlight w:val="none"/>
        </w:rPr>
      </w:pPr>
      <w:r>
        <w:rPr>
          <w:rFonts w:hint="eastAsia"/>
          <w:bCs/>
          <w:color w:val="auto"/>
          <w:sz w:val="24"/>
          <w:highlight w:val="none"/>
        </w:rPr>
        <w:t>（2）大写金额和小写金额不一致的，以大写金额为准。</w:t>
      </w:r>
    </w:p>
    <w:p w14:paraId="565FA7B9">
      <w:pPr>
        <w:spacing w:line="560" w:lineRule="exact"/>
        <w:ind w:firstLine="480"/>
        <w:rPr>
          <w:bCs/>
          <w:color w:val="auto"/>
          <w:sz w:val="24"/>
          <w:highlight w:val="none"/>
        </w:rPr>
      </w:pPr>
      <w:r>
        <w:rPr>
          <w:rFonts w:hint="eastAsia"/>
          <w:bCs/>
          <w:color w:val="auto"/>
          <w:sz w:val="24"/>
          <w:highlight w:val="none"/>
        </w:rPr>
        <w:t>（3）单价金额小数点或者百分比有明显错位的，以开标一览表的总价为准，并修改单价。</w:t>
      </w:r>
    </w:p>
    <w:p w14:paraId="2BB8F460">
      <w:pPr>
        <w:spacing w:line="560" w:lineRule="exact"/>
        <w:ind w:firstLine="480"/>
        <w:rPr>
          <w:bCs/>
          <w:color w:val="auto"/>
          <w:sz w:val="24"/>
          <w:highlight w:val="none"/>
        </w:rPr>
      </w:pPr>
      <w:r>
        <w:rPr>
          <w:rFonts w:hint="eastAsia"/>
          <w:bCs/>
          <w:color w:val="auto"/>
          <w:sz w:val="24"/>
          <w:highlight w:val="none"/>
        </w:rPr>
        <w:t>（4）总价金额与按单价汇总金额不一致的，以单价金额计算结果为准。</w:t>
      </w:r>
    </w:p>
    <w:p w14:paraId="7970F982">
      <w:pPr>
        <w:spacing w:line="560" w:lineRule="exact"/>
        <w:ind w:firstLine="480"/>
        <w:rPr>
          <w:bCs/>
          <w:color w:val="auto"/>
          <w:sz w:val="24"/>
          <w:highlight w:val="none"/>
        </w:rPr>
      </w:pPr>
      <w:r>
        <w:rPr>
          <w:rFonts w:hint="eastAsia"/>
          <w:bCs/>
          <w:color w:val="auto"/>
          <w:sz w:val="24"/>
          <w:highlight w:val="none"/>
        </w:rPr>
        <w:t>同时出现两种以上错误的，按照前款规定的顺序修正。</w:t>
      </w:r>
    </w:p>
    <w:p w14:paraId="17E6F06B">
      <w:pPr>
        <w:spacing w:line="560" w:lineRule="exact"/>
        <w:ind w:firstLine="480"/>
        <w:rPr>
          <w:bCs/>
          <w:color w:val="auto"/>
          <w:sz w:val="24"/>
          <w:highlight w:val="none"/>
        </w:rPr>
      </w:pPr>
      <w:r>
        <w:rPr>
          <w:rFonts w:hint="eastAsia"/>
          <w:color w:val="auto"/>
          <w:sz w:val="24"/>
          <w:highlight w:val="none"/>
        </w:rPr>
        <w:t>2</w:t>
      </w:r>
      <w:r>
        <w:rPr>
          <w:rFonts w:hint="eastAsia"/>
          <w:color w:val="auto"/>
          <w:sz w:val="24"/>
          <w:highlight w:val="none"/>
          <w:lang w:val="en-US" w:eastAsia="zh-CN"/>
        </w:rPr>
        <w:t>5</w:t>
      </w:r>
      <w:r>
        <w:rPr>
          <w:rFonts w:hint="eastAsia"/>
          <w:color w:val="auto"/>
          <w:sz w:val="24"/>
          <w:highlight w:val="none"/>
        </w:rPr>
        <w:t>.</w:t>
      </w:r>
      <w:r>
        <w:rPr>
          <w:color w:val="auto"/>
          <w:sz w:val="24"/>
          <w:highlight w:val="none"/>
        </w:rPr>
        <w:t>5</w:t>
      </w:r>
      <w:r>
        <w:rPr>
          <w:rFonts w:hint="eastAsia"/>
          <w:bCs/>
          <w:color w:val="auto"/>
          <w:sz w:val="24"/>
          <w:highlight w:val="none"/>
        </w:rPr>
        <w:t>评委会将按上述修正错误的方法调整投标文件中的投标报价，并</w:t>
      </w:r>
      <w:r>
        <w:rPr>
          <w:bCs/>
          <w:color w:val="auto"/>
          <w:sz w:val="24"/>
          <w:highlight w:val="none"/>
        </w:rPr>
        <w:t>通过</w:t>
      </w:r>
      <w:r>
        <w:rPr>
          <w:rFonts w:hint="eastAsia"/>
          <w:color w:val="auto"/>
          <w:sz w:val="24"/>
          <w:szCs w:val="24"/>
          <w:highlight w:val="none"/>
        </w:rPr>
        <w:t>“苏采云”系统</w:t>
      </w:r>
      <w:r>
        <w:rPr>
          <w:rFonts w:hint="eastAsia"/>
          <w:bCs/>
          <w:color w:val="auto"/>
          <w:sz w:val="24"/>
          <w:highlight w:val="none"/>
        </w:rPr>
        <w:t>告知</w:t>
      </w:r>
      <w:r>
        <w:rPr>
          <w:bCs/>
          <w:color w:val="auto"/>
          <w:sz w:val="24"/>
          <w:highlight w:val="none"/>
        </w:rPr>
        <w:t>投标人，</w:t>
      </w:r>
      <w:r>
        <w:rPr>
          <w:rFonts w:hint="eastAsia"/>
          <w:bCs/>
          <w:color w:val="auto"/>
          <w:sz w:val="24"/>
          <w:highlight w:val="none"/>
        </w:rPr>
        <w:t>调整后的价格应对投标人具有约束力。如果投标人不接受修正后的价格，则其投标将被拒绝。</w:t>
      </w:r>
    </w:p>
    <w:p w14:paraId="5A093CDF">
      <w:pPr>
        <w:spacing w:line="560" w:lineRule="exact"/>
        <w:ind w:firstLine="480"/>
        <w:rPr>
          <w:color w:val="auto"/>
          <w:sz w:val="24"/>
          <w:highlight w:val="none"/>
        </w:rPr>
      </w:pPr>
      <w:r>
        <w:rPr>
          <w:rFonts w:hint="eastAsia"/>
          <w:color w:val="auto"/>
          <w:sz w:val="24"/>
          <w:highlight w:val="none"/>
        </w:rPr>
        <w:t>2</w:t>
      </w:r>
      <w:r>
        <w:rPr>
          <w:rFonts w:hint="eastAsia"/>
          <w:color w:val="auto"/>
          <w:sz w:val="24"/>
          <w:highlight w:val="none"/>
          <w:lang w:val="en-US" w:eastAsia="zh-CN"/>
        </w:rPr>
        <w:t>5</w:t>
      </w:r>
      <w:r>
        <w:rPr>
          <w:rFonts w:hint="eastAsia"/>
          <w:color w:val="auto"/>
          <w:sz w:val="24"/>
          <w:highlight w:val="none"/>
        </w:rPr>
        <w:t>.6</w:t>
      </w:r>
      <w:r>
        <w:rPr>
          <w:color w:val="auto"/>
          <w:sz w:val="24"/>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color w:val="auto"/>
          <w:sz w:val="24"/>
          <w:highlight w:val="none"/>
        </w:rPr>
        <w:t>按照招标文件规定的方式（招标文件未规定的通过</w:t>
      </w:r>
      <w:r>
        <w:rPr>
          <w:color w:val="auto"/>
          <w:sz w:val="24"/>
          <w:highlight w:val="none"/>
        </w:rPr>
        <w:t>随机抽取</w:t>
      </w:r>
      <w:r>
        <w:rPr>
          <w:rFonts w:hint="eastAsia"/>
          <w:color w:val="auto"/>
          <w:sz w:val="24"/>
          <w:highlight w:val="none"/>
        </w:rPr>
        <w:t>的</w:t>
      </w:r>
      <w:r>
        <w:rPr>
          <w:color w:val="auto"/>
          <w:sz w:val="24"/>
          <w:highlight w:val="none"/>
        </w:rPr>
        <w:t>方式</w:t>
      </w:r>
      <w:r>
        <w:rPr>
          <w:rFonts w:hint="eastAsia"/>
          <w:color w:val="auto"/>
          <w:sz w:val="24"/>
          <w:highlight w:val="none"/>
        </w:rPr>
        <w:t>）</w:t>
      </w:r>
      <w:r>
        <w:rPr>
          <w:color w:val="auto"/>
          <w:sz w:val="24"/>
          <w:highlight w:val="none"/>
        </w:rPr>
        <w:t>确定一个参加评标的投标人，其他投标无效。</w:t>
      </w:r>
    </w:p>
    <w:p w14:paraId="6758FD98">
      <w:pPr>
        <w:spacing w:line="560" w:lineRule="exact"/>
        <w:ind w:firstLine="480"/>
        <w:rPr>
          <w:color w:val="auto"/>
          <w:sz w:val="24"/>
          <w:highlight w:val="none"/>
        </w:rPr>
      </w:pPr>
      <w:r>
        <w:rPr>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color w:val="auto"/>
          <w:sz w:val="24"/>
          <w:highlight w:val="none"/>
        </w:rPr>
        <w:t>根据招标文件规定的方式（招标文件未规定的采取随机抽取的方式）</w:t>
      </w:r>
      <w:r>
        <w:rPr>
          <w:color w:val="auto"/>
          <w:sz w:val="24"/>
          <w:highlight w:val="none"/>
        </w:rPr>
        <w:t>确定</w:t>
      </w:r>
      <w:r>
        <w:rPr>
          <w:rFonts w:hint="eastAsia"/>
          <w:color w:val="auto"/>
          <w:sz w:val="24"/>
          <w:highlight w:val="none"/>
        </w:rPr>
        <w:t>一个中标候选人</w:t>
      </w:r>
      <w:r>
        <w:rPr>
          <w:color w:val="auto"/>
          <w:sz w:val="24"/>
          <w:highlight w:val="none"/>
        </w:rPr>
        <w:t>，其他同品牌投标人不作为中标候选人。</w:t>
      </w:r>
    </w:p>
    <w:p w14:paraId="09911A30">
      <w:pPr>
        <w:spacing w:line="560" w:lineRule="exact"/>
        <w:ind w:firstLine="420"/>
        <w:rPr>
          <w:color w:val="auto"/>
          <w:sz w:val="24"/>
          <w:highlight w:val="none"/>
        </w:rPr>
      </w:pPr>
      <w:r>
        <w:rPr>
          <w:color w:val="auto"/>
          <w:sz w:val="24"/>
          <w:highlight w:val="none"/>
        </w:rPr>
        <w:t>非单一产品采购项目，招标文件中</w:t>
      </w:r>
      <w:r>
        <w:rPr>
          <w:rFonts w:hint="eastAsia"/>
          <w:color w:val="auto"/>
          <w:sz w:val="24"/>
          <w:highlight w:val="none"/>
        </w:rPr>
        <w:t>将载明其中的核心产品</w:t>
      </w:r>
      <w:r>
        <w:rPr>
          <w:color w:val="auto"/>
          <w:sz w:val="24"/>
          <w:highlight w:val="none"/>
        </w:rPr>
        <w:t>。多家投标人提供的核心产品品牌相同的，按前两款规定处理。</w:t>
      </w:r>
    </w:p>
    <w:p w14:paraId="42E7D271">
      <w:pPr>
        <w:spacing w:line="480" w:lineRule="exact"/>
        <w:ind w:firstLine="482"/>
        <w:rPr>
          <w:rFonts w:hint="eastAsia" w:asciiTheme="minorEastAsia" w:hAnsiTheme="minorEastAsia" w:eastAsiaTheme="minorEastAsia" w:cstheme="minorEastAsia"/>
          <w:color w:val="auto"/>
          <w:sz w:val="24"/>
          <w:highlight w:val="none"/>
        </w:rPr>
      </w:pPr>
      <w:r>
        <w:rPr>
          <w:rFonts w:hint="eastAsia" w:eastAsia="宋体"/>
          <w:color w:val="auto"/>
          <w:sz w:val="24"/>
          <w:highlight w:val="none"/>
          <w:lang w:val="en-US" w:eastAsia="zh-CN"/>
        </w:rPr>
        <w:t>2</w:t>
      </w:r>
      <w:r>
        <w:rPr>
          <w:rFonts w:hint="eastAsia"/>
          <w:color w:val="auto"/>
          <w:sz w:val="24"/>
          <w:highlight w:val="none"/>
          <w:lang w:val="en-US" w:eastAsia="zh-CN"/>
        </w:rPr>
        <w:t>5</w:t>
      </w:r>
      <w:r>
        <w:rPr>
          <w:rFonts w:hint="eastAsia" w:eastAsia="宋体"/>
          <w:color w:val="auto"/>
          <w:sz w:val="24"/>
          <w:highlight w:val="none"/>
          <w:lang w:val="en-US" w:eastAsia="zh-CN"/>
        </w:rPr>
        <w:t>.</w:t>
      </w:r>
      <w:r>
        <w:rPr>
          <w:rFonts w:hint="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评审过程中出现下列情形之一的，</w:t>
      </w:r>
      <w:r>
        <w:rPr>
          <w:rFonts w:hint="eastAsia" w:asciiTheme="minorEastAsia" w:hAnsiTheme="minorEastAsia" w:eastAsiaTheme="minorEastAsia" w:cstheme="minorEastAsia"/>
          <w:color w:val="auto"/>
          <w:sz w:val="24"/>
          <w:highlight w:val="none"/>
          <w:lang w:eastAsia="zh-CN"/>
        </w:rPr>
        <w:t>评标委员会</w:t>
      </w:r>
      <w:r>
        <w:rPr>
          <w:rFonts w:hint="eastAsia" w:asciiTheme="minorEastAsia" w:hAnsiTheme="minorEastAsia" w:eastAsiaTheme="minorEastAsia" w:cstheme="minorEastAsia"/>
          <w:color w:val="auto"/>
          <w:sz w:val="24"/>
          <w:highlight w:val="none"/>
        </w:rPr>
        <w:t>应当启动异常低价投标(响应)审查程序：</w:t>
      </w:r>
    </w:p>
    <w:p w14:paraId="076B256C">
      <w:pPr>
        <w:numPr>
          <w:ilvl w:val="0"/>
          <w:numId w:val="0"/>
        </w:numPr>
        <w:spacing w:line="480" w:lineRule="exact"/>
        <w:ind w:left="0" w:firstLine="48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2"/>
          <w:highlight w:val="none"/>
          <w:lang w:val="en-US" w:eastAsia="zh-CN" w:bidi="ar-SA"/>
        </w:rPr>
        <w:t>①</w:t>
      </w:r>
      <w:r>
        <w:rPr>
          <w:rFonts w:hint="eastAsia" w:asciiTheme="minorEastAsia" w:hAnsiTheme="minorEastAsia" w:eastAsiaTheme="minorEastAsia" w:cstheme="minorEastAsia"/>
          <w:color w:val="auto"/>
          <w:sz w:val="24"/>
          <w:highlight w:val="none"/>
        </w:rPr>
        <w:t>投标(响应)报价低于采购项目预算50%的，即投标(响应)报价&lt;采购项目预算x50%</w:t>
      </w:r>
      <w:r>
        <w:rPr>
          <w:rFonts w:hint="eastAsia" w:asciiTheme="minorEastAsia" w:hAnsiTheme="minorEastAsia" w:eastAsiaTheme="minorEastAsia" w:cstheme="minorEastAsia"/>
          <w:color w:val="auto"/>
          <w:sz w:val="24"/>
          <w:highlight w:val="none"/>
          <w:lang w:eastAsia="zh-CN"/>
        </w:rPr>
        <w:t>；</w:t>
      </w:r>
    </w:p>
    <w:p w14:paraId="4918E100">
      <w:pPr>
        <w:numPr>
          <w:ilvl w:val="0"/>
          <w:numId w:val="0"/>
        </w:numPr>
        <w:spacing w:line="480" w:lineRule="exact"/>
        <w:ind w:left="0" w:firstLine="48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2"/>
          <w:highlight w:val="none"/>
          <w:lang w:val="en-US" w:eastAsia="zh-CN" w:bidi="ar-SA"/>
        </w:rPr>
        <w:t>②</w:t>
      </w:r>
      <w:r>
        <w:rPr>
          <w:rFonts w:hint="eastAsia" w:asciiTheme="minorEastAsia" w:hAnsiTheme="minorEastAsia" w:eastAsiaTheme="minorEastAsia" w:cstheme="minorEastAsia"/>
          <w:color w:val="auto"/>
          <w:sz w:val="24"/>
          <w:highlight w:val="none"/>
        </w:rPr>
        <w:t>投标(响应)报价低于采购项目最高限价45%的，即投标(响应)报价&lt;采购项目最高限价x45%</w:t>
      </w:r>
      <w:r>
        <w:rPr>
          <w:rFonts w:hint="eastAsia" w:asciiTheme="minorEastAsia" w:hAnsiTheme="minorEastAsia" w:eastAsiaTheme="minorEastAsia" w:cstheme="minorEastAsia"/>
          <w:color w:val="auto"/>
          <w:sz w:val="24"/>
          <w:highlight w:val="none"/>
          <w:lang w:eastAsia="zh-CN"/>
        </w:rPr>
        <w:t>；</w:t>
      </w:r>
    </w:p>
    <w:p w14:paraId="395DA38E">
      <w:pPr>
        <w:numPr>
          <w:ilvl w:val="0"/>
          <w:numId w:val="0"/>
        </w:numPr>
        <w:spacing w:line="480" w:lineRule="exact"/>
        <w:ind w:left="0"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2"/>
          <w:highlight w:val="none"/>
          <w:lang w:val="en-US" w:eastAsia="zh-CN" w:bidi="ar-SA"/>
        </w:rPr>
        <w:t>③</w:t>
      </w:r>
      <w:r>
        <w:rPr>
          <w:rFonts w:hint="eastAsia" w:asciiTheme="minorEastAsia" w:hAnsiTheme="minorEastAsia" w:eastAsiaTheme="minorEastAsia" w:cstheme="minorEastAsia"/>
          <w:color w:val="auto"/>
          <w:sz w:val="24"/>
          <w:highlight w:val="none"/>
          <w:lang w:eastAsia="zh-CN"/>
        </w:rPr>
        <w:t>评标委员会</w:t>
      </w:r>
      <w:r>
        <w:rPr>
          <w:rFonts w:hint="eastAsia" w:asciiTheme="minorEastAsia" w:hAnsiTheme="minorEastAsia" w:eastAsiaTheme="minorEastAsia" w:cstheme="minorEastAsia"/>
          <w:color w:val="auto"/>
          <w:sz w:val="24"/>
          <w:highlight w:val="none"/>
        </w:rPr>
        <w:t>认定的供应商报价过低、有可能影响产品质量或者不能诚信履约的其他情形。</w:t>
      </w:r>
    </w:p>
    <w:p w14:paraId="7F82BB24">
      <w:pPr>
        <w:spacing w:line="480" w:lineRule="exact"/>
        <w:ind w:firstLine="482"/>
        <w:rPr>
          <w:color w:val="auto"/>
          <w:sz w:val="24"/>
          <w:highlight w:val="none"/>
        </w:rPr>
      </w:pPr>
      <w:r>
        <w:rPr>
          <w:rFonts w:hint="eastAsia" w:asciiTheme="minorEastAsia" w:hAnsiTheme="minorEastAsia" w:eastAsiaTheme="minorEastAsia" w:cstheme="minorEastAsia"/>
          <w:color w:val="auto"/>
          <w:sz w:val="24"/>
          <w:highlight w:val="none"/>
        </w:rPr>
        <w:t>启动异常低价投标(响应)审查后，</w:t>
      </w:r>
      <w:r>
        <w:rPr>
          <w:rFonts w:hint="eastAsia" w:asciiTheme="minorEastAsia" w:hAnsiTheme="minorEastAsia" w:eastAsiaTheme="minorEastAsia" w:cstheme="minorEastAsia"/>
          <w:color w:val="auto"/>
          <w:sz w:val="24"/>
          <w:highlight w:val="none"/>
          <w:lang w:eastAsia="zh-CN"/>
        </w:rPr>
        <w:t>评标委员会</w:t>
      </w:r>
      <w:r>
        <w:rPr>
          <w:rFonts w:hint="eastAsia" w:asciiTheme="minorEastAsia" w:hAnsiTheme="minorEastAsia" w:eastAsiaTheme="minorEastAsia" w:cstheme="minorEastAsia"/>
          <w:color w:val="auto"/>
          <w:sz w:val="24"/>
          <w:highlight w:val="none"/>
        </w:rPr>
        <w:t>将要求相关供应商在</w:t>
      </w:r>
      <w:r>
        <w:rPr>
          <w:rFonts w:hint="eastAsia" w:asciiTheme="minorEastAsia" w:hAnsiTheme="minorEastAsia" w:eastAsiaTheme="minorEastAsia" w:cstheme="minorEastAsia"/>
          <w:color w:val="auto"/>
          <w:sz w:val="24"/>
          <w:highlight w:val="none"/>
          <w:lang w:val="en-US" w:eastAsia="zh-CN"/>
        </w:rPr>
        <w:t>评标现场</w:t>
      </w:r>
      <w:r>
        <w:rPr>
          <w:rFonts w:hint="eastAsia" w:asciiTheme="minorEastAsia" w:hAnsiTheme="minorEastAsia" w:eastAsiaTheme="minorEastAsia" w:cstheme="minorEastAsia"/>
          <w:color w:val="auto"/>
          <w:sz w:val="24"/>
          <w:highlight w:val="none"/>
        </w:rPr>
        <w:t>合理的时间内，提供项目具体成本测算等与报价合理性相关的书面说明及相关证明材料，对投标(响应)价格作出解释，由</w:t>
      </w:r>
      <w:r>
        <w:rPr>
          <w:rFonts w:hint="eastAsia" w:asciiTheme="minorEastAsia" w:hAnsiTheme="minorEastAsia" w:eastAsiaTheme="minorEastAsia" w:cstheme="minorEastAsia"/>
          <w:color w:val="auto"/>
          <w:sz w:val="24"/>
          <w:highlight w:val="none"/>
          <w:lang w:eastAsia="zh-CN"/>
        </w:rPr>
        <w:t>评标委员会</w:t>
      </w:r>
      <w:r>
        <w:rPr>
          <w:rFonts w:hint="eastAsia" w:asciiTheme="minorEastAsia" w:hAnsiTheme="minorEastAsia" w:eastAsiaTheme="minorEastAsia" w:cstheme="minorEastAsia"/>
          <w:color w:val="auto"/>
          <w:sz w:val="24"/>
          <w:highlight w:val="none"/>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Theme="minorEastAsia" w:hAnsiTheme="minorEastAsia" w:eastAsiaTheme="minorEastAsia" w:cstheme="minorEastAsia"/>
          <w:color w:val="auto"/>
          <w:sz w:val="24"/>
          <w:highlight w:val="none"/>
          <w:lang w:eastAsia="zh-CN"/>
        </w:rPr>
        <w:t>评标委员会</w:t>
      </w:r>
      <w:r>
        <w:rPr>
          <w:rFonts w:hint="eastAsia" w:asciiTheme="minorEastAsia" w:hAnsiTheme="minorEastAsia" w:eastAsiaTheme="minorEastAsia" w:cstheme="minorEastAsia"/>
          <w:color w:val="auto"/>
          <w:sz w:val="24"/>
          <w:highlight w:val="none"/>
        </w:rPr>
        <w:t>应当将其作为无效投标(响应)处理。</w:t>
      </w:r>
    </w:p>
    <w:p w14:paraId="56B25459">
      <w:pPr>
        <w:spacing w:line="560" w:lineRule="exact"/>
        <w:ind w:firstLine="420"/>
        <w:rPr>
          <w:color w:val="auto"/>
          <w:sz w:val="24"/>
          <w:highlight w:val="none"/>
        </w:rPr>
      </w:pPr>
      <w:bookmarkStart w:id="163" w:name="_Toc16938550"/>
      <w:bookmarkStart w:id="164" w:name="_Toc513029234"/>
      <w:bookmarkStart w:id="165" w:name="_Toc20823306"/>
      <w:r>
        <w:rPr>
          <w:rFonts w:hint="eastAsia"/>
          <w:color w:val="auto"/>
          <w:sz w:val="24"/>
          <w:highlight w:val="none"/>
        </w:rPr>
        <w:t>26.</w:t>
      </w:r>
      <w:r>
        <w:rPr>
          <w:rFonts w:hint="eastAsia"/>
          <w:color w:val="auto"/>
          <w:sz w:val="24"/>
          <w:highlight w:val="none"/>
          <w:lang w:val="en-US" w:eastAsia="zh-CN"/>
        </w:rPr>
        <w:t>8</w:t>
      </w:r>
      <w:r>
        <w:rPr>
          <w:rFonts w:hint="eastAsia"/>
          <w:color w:val="auto"/>
          <w:sz w:val="24"/>
          <w:highlight w:val="none"/>
        </w:rPr>
        <w:t>投标人在开、评标全过程中应</w:t>
      </w:r>
      <w:r>
        <w:rPr>
          <w:rFonts w:hint="eastAsia" w:eastAsia="仿宋"/>
          <w:color w:val="auto"/>
          <w:sz w:val="24"/>
          <w:highlight w:val="none"/>
        </w:rPr>
        <w:t>随时保持系统在线</w:t>
      </w:r>
      <w:r>
        <w:rPr>
          <w:rFonts w:hint="eastAsia"/>
          <w:color w:val="auto"/>
          <w:sz w:val="24"/>
          <w:highlight w:val="none"/>
        </w:rPr>
        <w:t>，及时在</w:t>
      </w:r>
      <w:r>
        <w:rPr>
          <w:rFonts w:hint="eastAsia"/>
          <w:color w:val="auto"/>
          <w:sz w:val="24"/>
          <w:szCs w:val="24"/>
          <w:highlight w:val="none"/>
        </w:rPr>
        <w:t>“苏采云”系统</w:t>
      </w:r>
      <w:r>
        <w:rPr>
          <w:rFonts w:hint="eastAsia"/>
          <w:color w:val="auto"/>
          <w:sz w:val="24"/>
          <w:highlight w:val="none"/>
        </w:rPr>
        <w:t>查阅</w:t>
      </w:r>
      <w:r>
        <w:rPr>
          <w:color w:val="auto"/>
          <w:sz w:val="24"/>
          <w:highlight w:val="none"/>
        </w:rPr>
        <w:t>、答复相关</w:t>
      </w:r>
      <w:r>
        <w:rPr>
          <w:rFonts w:hint="eastAsia"/>
          <w:color w:val="auto"/>
          <w:sz w:val="24"/>
          <w:highlight w:val="none"/>
        </w:rPr>
        <w:t>信息。</w:t>
      </w:r>
    </w:p>
    <w:bookmarkEnd w:id="163"/>
    <w:bookmarkEnd w:id="164"/>
    <w:bookmarkEnd w:id="165"/>
    <w:p w14:paraId="598A1BCF">
      <w:pPr>
        <w:keepNext w:val="0"/>
        <w:keepLines w:val="0"/>
        <w:pageBreakBefore w:val="0"/>
        <w:widowControl w:val="0"/>
        <w:spacing w:line="360" w:lineRule="auto"/>
        <w:ind w:firstLine="562"/>
        <w:jc w:val="left"/>
        <w:outlineLvl w:val="9"/>
        <w:rPr>
          <w:rFonts w:hint="eastAsia" w:ascii="宋体" w:hAnsi="宋体" w:eastAsia="宋体" w:cs="宋体"/>
          <w:b/>
          <w:bCs/>
          <w:color w:val="auto"/>
          <w:sz w:val="28"/>
          <w:szCs w:val="28"/>
          <w:highlight w:val="none"/>
        </w:rPr>
      </w:pPr>
      <w:bookmarkStart w:id="166" w:name="_Toc16938551"/>
      <w:bookmarkStart w:id="167" w:name="_Toc513029235"/>
      <w:bookmarkStart w:id="168" w:name="_Toc20823307"/>
      <w:bookmarkStart w:id="169" w:name="_Toc120614219"/>
      <w:r>
        <w:rPr>
          <w:rFonts w:hint="eastAsia" w:ascii="宋体" w:hAnsi="宋体" w:eastAsia="宋体" w:cs="宋体"/>
          <w:b/>
          <w:bCs/>
          <w:color w:val="auto"/>
          <w:sz w:val="28"/>
          <w:szCs w:val="28"/>
          <w:highlight w:val="none"/>
        </w:rPr>
        <w:t>26、无效投标条款和废标条款</w:t>
      </w:r>
    </w:p>
    <w:p w14:paraId="32596FF4">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26.1无效投标条款</w:t>
      </w:r>
    </w:p>
    <w:p w14:paraId="1CA72C38">
      <w:pPr>
        <w:keepNext w:val="0"/>
        <w:keepLines w:val="0"/>
        <w:pageBreakBefore w:val="0"/>
        <w:widowControl w:val="0"/>
        <w:spacing w:line="360" w:lineRule="auto"/>
        <w:ind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w:t>
      </w:r>
      <w:r>
        <w:rPr>
          <w:rFonts w:hint="eastAsia" w:ascii="宋体" w:hAnsi="宋体" w:eastAsia="宋体" w:cs="宋体"/>
          <w:bCs/>
          <w:color w:val="auto"/>
          <w:sz w:val="24"/>
          <w:szCs w:val="24"/>
          <w:highlight w:val="none"/>
        </w:rPr>
        <w:t>.1.1 投标人在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规定的时间内未成功解密电子投标文件的。</w:t>
      </w:r>
    </w:p>
    <w:p w14:paraId="1D9AFC34">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 投标人未按照招标文件要求上传电子投标文件的。</w:t>
      </w:r>
    </w:p>
    <w:p w14:paraId="451CFDA5">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26.1.3同一投标人提交两个（含两个）以上不同的投标报价的。</w:t>
      </w:r>
    </w:p>
    <w:p w14:paraId="168EABE1">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26.1.4投标人不具备招标文件中规定资格要求的。</w:t>
      </w:r>
    </w:p>
    <w:p w14:paraId="07FC6EEB">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26.1.5投标人的报价超过了采购预算或最高限价的。</w:t>
      </w:r>
    </w:p>
    <w:p w14:paraId="7F75F178">
      <w:pPr>
        <w:keepNext w:val="0"/>
        <w:keepLines w:val="0"/>
        <w:pageBreakBefore w:val="0"/>
        <w:widowControl w:val="0"/>
        <w:spacing w:line="360" w:lineRule="auto"/>
        <w:ind w:firstLine="480"/>
        <w:jc w:val="left"/>
        <w:outlineLvl w:val="9"/>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26.1.6未通过符合性审查的。</w:t>
      </w:r>
    </w:p>
    <w:p w14:paraId="38AA1FAB">
      <w:pPr>
        <w:keepNext w:val="0"/>
        <w:keepLines w:val="0"/>
        <w:pageBreakBefore w:val="0"/>
        <w:widowControl w:val="0"/>
        <w:spacing w:line="360" w:lineRule="auto"/>
        <w:ind w:firstLine="480"/>
        <w:jc w:val="left"/>
        <w:outlineLvl w:val="9"/>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26.1.7不符合招标文件中规定的实质性要求和条件的</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u w:val="single"/>
        </w:rPr>
        <w:t>打“★”内容为实质性要求和条件）。</w:t>
      </w:r>
    </w:p>
    <w:p w14:paraId="4BF88C98">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26.1.8 供应商被“信用中国”网（www.creditchina.gov.cn）、“中国政府采购”网（www.ccgp.gov.cn）、“江苏政府采购网”（www.ccgp-jiangsu.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EFA5CFA">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26.1.9 投标文件含有采购人不能接受的附加条件的。</w:t>
      </w:r>
    </w:p>
    <w:p w14:paraId="70F11012">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要求其在合理的时间内提供说明，必要时提交相关证明材料；投标人不能证明其报价合理性的，评委会应当将其作为无效投标处理。</w:t>
      </w:r>
    </w:p>
    <w:p w14:paraId="3B4C224F">
      <w:pPr>
        <w:keepNext w:val="0"/>
        <w:keepLines w:val="0"/>
        <w:pageBreakBefore w:val="0"/>
        <w:widowControl w:val="0"/>
        <w:spacing w:line="360" w:lineRule="auto"/>
        <w:ind w:firstLine="480"/>
        <w:jc w:val="left"/>
        <w:outlineLvl w:val="9"/>
        <w:rPr>
          <w:rFonts w:hint="eastAsia" w:ascii="宋体" w:hAnsi="宋体" w:eastAsia="宋体" w:cs="宋体"/>
          <w:color w:val="auto"/>
          <w:highlight w:val="none"/>
        </w:rPr>
      </w:pPr>
      <w:r>
        <w:rPr>
          <w:rFonts w:hint="eastAsia" w:ascii="宋体" w:hAnsi="宋体" w:eastAsia="宋体" w:cs="宋体"/>
          <w:color w:val="auto"/>
          <w:sz w:val="24"/>
          <w:highlight w:val="none"/>
          <w:lang w:val="zh-CN"/>
        </w:rPr>
        <w:t>26.1.11本项目采购产品被财政部、国家发改委、生态环境部等列入“节能产品品目清单”、“环境标志产品品目清单”强制采购范围，而</w:t>
      </w: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zh-CN"/>
        </w:rPr>
        <w:t>人所</w:t>
      </w:r>
      <w:r>
        <w:rPr>
          <w:rFonts w:hint="eastAsia" w:ascii="宋体" w:hAnsi="宋体" w:eastAsia="宋体" w:cs="宋体"/>
          <w:color w:val="auto"/>
          <w:sz w:val="24"/>
          <w:highlight w:val="none"/>
        </w:rPr>
        <w:t>投</w:t>
      </w:r>
      <w:r>
        <w:rPr>
          <w:rFonts w:hint="eastAsia" w:ascii="宋体" w:hAnsi="宋体" w:eastAsia="宋体" w:cs="宋体"/>
          <w:color w:val="auto"/>
          <w:sz w:val="24"/>
          <w:highlight w:val="none"/>
          <w:lang w:val="zh-CN"/>
        </w:rPr>
        <w:t>产品不在强制采购范围内的。（所</w:t>
      </w:r>
      <w:r>
        <w:rPr>
          <w:rFonts w:hint="eastAsia" w:ascii="宋体" w:hAnsi="宋体" w:eastAsia="宋体" w:cs="宋体"/>
          <w:color w:val="auto"/>
          <w:sz w:val="24"/>
          <w:highlight w:val="none"/>
        </w:rPr>
        <w:t>投</w:t>
      </w:r>
      <w:r>
        <w:rPr>
          <w:rFonts w:hint="eastAsia" w:ascii="宋体" w:hAnsi="宋体" w:eastAsia="宋体" w:cs="宋体"/>
          <w:color w:val="auto"/>
          <w:sz w:val="24"/>
          <w:highlight w:val="none"/>
          <w:lang w:val="zh-CN"/>
        </w:rPr>
        <w:t>产品如属于政府强制采购节能产品品目清单范围内，</w:t>
      </w: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zh-CN"/>
        </w:rPr>
        <w:t>文件中必须提供国家确定的认证机构出具的、处于有效期之内的该节能产品认证证书图片）。</w:t>
      </w:r>
    </w:p>
    <w:p w14:paraId="5DC3A7EA">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26.1.12 投标文件未按照招标文件要求加盖CA电子公章的。</w:t>
      </w:r>
    </w:p>
    <w:p w14:paraId="1AE2BDEB">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26.1.13其他法律、法规及本招标文件规定的属无效投标的情形。</w:t>
      </w:r>
    </w:p>
    <w:p w14:paraId="7F2CF6F0">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14:paraId="2ED6AE02">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26.2.1符合专业条件的投标人或者对招标文件作实质响应的投标人不足三家的。</w:t>
      </w:r>
    </w:p>
    <w:p w14:paraId="1F58D278">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26.2.2出现影响采购公正的违法、违规行为的。</w:t>
      </w:r>
    </w:p>
    <w:p w14:paraId="2E917945">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14:paraId="62460BD3">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26.2.4评委会认定招标文件存在歧义、重大缺陷导致评审工作无法进行。</w:t>
      </w:r>
    </w:p>
    <w:p w14:paraId="148309A2">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26.2.5因</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系统故障原因造成开标不成功的。</w:t>
      </w:r>
    </w:p>
    <w:p w14:paraId="06FBAE1F">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26.2.6未按招标文件要求填写报价的。</w:t>
      </w:r>
    </w:p>
    <w:p w14:paraId="511A585C">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投标截止时间结束后参加投标的投标人不足三家的处理：</w:t>
      </w:r>
    </w:p>
    <w:p w14:paraId="4220AEA5">
      <w:pPr>
        <w:pStyle w:val="185"/>
        <w:spacing w:before="0" w:after="0" w:line="560" w:lineRule="exact"/>
        <w:ind w:firstLine="482"/>
        <w:rPr>
          <w:rFonts w:hint="eastAsia" w:ascii="宋体" w:hAnsi="宋体" w:eastAsia="宋体" w:cs="宋体"/>
          <w:bCs/>
          <w:color w:val="auto"/>
          <w:sz w:val="24"/>
          <w:highlight w:val="none"/>
        </w:rPr>
      </w:pPr>
      <w:r>
        <w:rPr>
          <w:rFonts w:hint="eastAsia" w:ascii="宋体" w:hAnsi="宋体" w:eastAsia="宋体" w:cs="宋体"/>
          <w:b w:val="0"/>
          <w:bCs w:val="0"/>
          <w:color w:val="auto"/>
          <w:sz w:val="24"/>
          <w:highlight w:val="none"/>
        </w:rPr>
        <w:t>26.3.1如出现投标截止时间结束后参加投标的投标人或者在评标期间对招标文件做出实质响应的投标人不足三家情况，按政府采购相关规定执行。</w:t>
      </w:r>
    </w:p>
    <w:p w14:paraId="74DC56E5">
      <w:pPr>
        <w:pStyle w:val="185"/>
        <w:spacing w:before="0" w:after="0" w:line="560" w:lineRule="exact"/>
        <w:ind w:firstLine="482"/>
        <w:rPr>
          <w:color w:val="auto"/>
          <w:highlight w:val="none"/>
        </w:rPr>
      </w:pPr>
      <w:r>
        <w:rPr>
          <w:rFonts w:hint="eastAsia"/>
          <w:color w:val="auto"/>
          <w:highlight w:val="none"/>
        </w:rPr>
        <w:t>六、</w:t>
      </w:r>
      <w:bookmarkEnd w:id="166"/>
      <w:bookmarkEnd w:id="167"/>
      <w:bookmarkEnd w:id="168"/>
      <w:r>
        <w:rPr>
          <w:rFonts w:hint="eastAsia"/>
          <w:color w:val="auto"/>
          <w:highlight w:val="none"/>
        </w:rPr>
        <w:t>定标</w:t>
      </w:r>
      <w:bookmarkEnd w:id="169"/>
    </w:p>
    <w:p w14:paraId="11D13CCA">
      <w:pPr>
        <w:keepNext w:val="0"/>
        <w:keepLines w:val="0"/>
        <w:pageBreakBefore w:val="0"/>
        <w:widowControl w:val="0"/>
        <w:spacing w:line="360" w:lineRule="auto"/>
        <w:ind w:firstLine="562"/>
        <w:jc w:val="left"/>
        <w:outlineLvl w:val="9"/>
        <w:rPr>
          <w:rFonts w:hint="eastAsia" w:ascii="宋体" w:hAnsi="宋体" w:eastAsia="宋体" w:cs="宋体"/>
          <w:b/>
          <w:bCs/>
          <w:color w:val="auto"/>
          <w:sz w:val="28"/>
          <w:szCs w:val="28"/>
          <w:highlight w:val="none"/>
        </w:rPr>
      </w:pPr>
      <w:bookmarkStart w:id="170" w:name="_Toc513029238"/>
      <w:bookmarkStart w:id="171" w:name="_Toc20823310"/>
      <w:bookmarkStart w:id="172" w:name="_Toc16938554"/>
      <w:bookmarkStart w:id="173" w:name="_Toc200451960"/>
      <w:r>
        <w:rPr>
          <w:rFonts w:hint="eastAsia" w:ascii="宋体" w:hAnsi="宋体" w:eastAsia="宋体" w:cs="宋体"/>
          <w:b/>
          <w:bCs/>
          <w:color w:val="auto"/>
          <w:sz w:val="28"/>
          <w:szCs w:val="28"/>
          <w:highlight w:val="none"/>
        </w:rPr>
        <w:t>27、</w:t>
      </w:r>
      <w:bookmarkEnd w:id="170"/>
      <w:r>
        <w:rPr>
          <w:rFonts w:hint="eastAsia" w:ascii="宋体" w:hAnsi="宋体" w:eastAsia="宋体" w:cs="宋体"/>
          <w:b/>
          <w:bCs/>
          <w:color w:val="auto"/>
          <w:sz w:val="28"/>
          <w:szCs w:val="28"/>
          <w:highlight w:val="none"/>
        </w:rPr>
        <w:t>确定</w:t>
      </w:r>
      <w:bookmarkEnd w:id="171"/>
      <w:bookmarkEnd w:id="172"/>
      <w:r>
        <w:rPr>
          <w:rFonts w:hint="eastAsia" w:ascii="宋体" w:hAnsi="宋体" w:eastAsia="宋体" w:cs="宋体"/>
          <w:b/>
          <w:bCs/>
          <w:color w:val="auto"/>
          <w:sz w:val="28"/>
          <w:szCs w:val="28"/>
          <w:highlight w:val="none"/>
        </w:rPr>
        <w:t>中标单位</w:t>
      </w:r>
    </w:p>
    <w:p w14:paraId="097CA289">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27.1中标候选人的选取原则和数量见招标文件第五章规定。 </w:t>
      </w:r>
    </w:p>
    <w:p w14:paraId="6BB8ED3A">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27.2 按以下第</w:t>
      </w:r>
      <w:r>
        <w:rPr>
          <w:rFonts w:hint="eastAsia" w:ascii="宋体" w:hAnsi="宋体" w:eastAsia="宋体" w:cs="宋体"/>
          <w:bCs/>
          <w:color w:val="auto"/>
          <w:sz w:val="24"/>
          <w:highlight w:val="none"/>
          <w:u w:val="single"/>
          <w:lang w:val="zh-CN"/>
        </w:rPr>
        <w:t>（</w:t>
      </w:r>
      <w:r>
        <w:rPr>
          <w:rFonts w:hint="eastAsia" w:ascii="宋体" w:hAnsi="宋体" w:eastAsia="宋体" w:cs="宋体"/>
          <w:bCs/>
          <w:color w:val="auto"/>
          <w:sz w:val="24"/>
          <w:highlight w:val="none"/>
          <w:u w:val="single"/>
          <w:lang w:val="en-US" w:eastAsia="zh-CN"/>
        </w:rPr>
        <w:t>2</w:t>
      </w:r>
      <w:r>
        <w:rPr>
          <w:rFonts w:hint="eastAsia" w:ascii="宋体" w:hAnsi="宋体" w:eastAsia="宋体" w:cs="宋体"/>
          <w:bCs/>
          <w:color w:val="auto"/>
          <w:sz w:val="24"/>
          <w:highlight w:val="none"/>
          <w:u w:val="single"/>
          <w:lang w:val="zh-CN"/>
        </w:rPr>
        <w:t>）</w:t>
      </w:r>
      <w:r>
        <w:rPr>
          <w:rFonts w:hint="eastAsia" w:ascii="宋体" w:hAnsi="宋体" w:eastAsia="宋体" w:cs="宋体"/>
          <w:bCs/>
          <w:color w:val="auto"/>
          <w:sz w:val="24"/>
          <w:highlight w:val="none"/>
          <w:lang w:val="zh-CN"/>
        </w:rPr>
        <w:t>种方式确定中标人</w:t>
      </w:r>
    </w:p>
    <w:p w14:paraId="4C769B2E">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（1）评委会直接确定排名第一的中标候选人为中标人；</w:t>
      </w:r>
    </w:p>
    <w:p w14:paraId="57BFC9C3">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（2）采购人在评委会推荐的中标候选人中按顺序确定中标人。</w:t>
      </w:r>
    </w:p>
    <w:p w14:paraId="04193BAC">
      <w:pPr>
        <w:keepNext w:val="0"/>
        <w:keepLines w:val="0"/>
        <w:pageBreakBefore w:val="0"/>
        <w:widowControl w:val="0"/>
        <w:spacing w:line="360" w:lineRule="auto"/>
        <w:ind w:firstLine="480"/>
        <w:jc w:val="left"/>
        <w:outlineLvl w:val="9"/>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按第</w:t>
      </w: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zh-CN"/>
        </w:rPr>
        <w:t>种方式确定中标人的，</w:t>
      </w:r>
      <w:r>
        <w:rPr>
          <w:rFonts w:hint="eastAsia" w:ascii="宋体" w:hAnsi="宋体" w:eastAsia="宋体" w:cs="宋体"/>
          <w:bCs/>
          <w:color w:val="auto"/>
          <w:sz w:val="24"/>
          <w:highlight w:val="none"/>
        </w:rPr>
        <w:t>采购代理机构</w:t>
      </w:r>
      <w:r>
        <w:rPr>
          <w:rFonts w:hint="eastAsia" w:ascii="宋体" w:hAnsi="宋体" w:eastAsia="宋体" w:cs="宋体"/>
          <w:bCs/>
          <w:color w:val="auto"/>
          <w:sz w:val="24"/>
          <w:highlight w:val="none"/>
          <w:lang w:val="zh-CN"/>
        </w:rPr>
        <w:t>自评审结束之日起两个工作日内将评审报告送交采购人，采购人自收到评审报告之日起五个工作日内在评审报告推荐的中标候选人中按顺序确定中标人。</w:t>
      </w:r>
    </w:p>
    <w:p w14:paraId="702E8B50">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 </w:t>
      </w:r>
      <w:r>
        <w:rPr>
          <w:rFonts w:hint="eastAsia" w:ascii="宋体" w:hAnsi="宋体" w:eastAsia="宋体" w:cs="宋体"/>
          <w:color w:val="auto"/>
          <w:sz w:val="24"/>
          <w:szCs w:val="24"/>
          <w:highlight w:val="none"/>
        </w:rPr>
        <w:t>采购代理机构将在“宿迁市政府采购网”发布中标公告，公告期限为1个工作日。</w:t>
      </w:r>
    </w:p>
    <w:p w14:paraId="0DF777F7">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  若有充分证据证明，中标人出现下列情况之一的，一经查实，将被取消中标资格：</w:t>
      </w:r>
    </w:p>
    <w:p w14:paraId="368E917F">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657932E8">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27.4.2向采购人、采购代理机构行贿或者提供其他不正当利益的。</w:t>
      </w:r>
    </w:p>
    <w:p w14:paraId="01B10926">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2D4481C6">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27.4.4与采购人或者其他投标人恶意串通的。</w:t>
      </w:r>
    </w:p>
    <w:p w14:paraId="7AA29038">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27.4.5采取不正当手段诋毁、排挤其他投标人的。</w:t>
      </w:r>
    </w:p>
    <w:p w14:paraId="55C6F7FB">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14:paraId="0CBD0288">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23F5C0F1">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6882FB63">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14:paraId="794A8550">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5FEB27C9">
      <w:pPr>
        <w:pStyle w:val="187"/>
        <w:spacing w:before="0" w:after="0" w:line="560" w:lineRule="exact"/>
        <w:ind w:firstLine="600"/>
        <w:rPr>
          <w:rFonts w:ascii="Times New Roman" w:hAnsi="Times New Roman" w:cs="Times New Roman"/>
          <w:b w:val="0"/>
          <w:color w:val="auto"/>
          <w:sz w:val="30"/>
          <w:szCs w:val="30"/>
          <w:highlight w:val="none"/>
        </w:rPr>
      </w:pPr>
      <w:r>
        <w:rPr>
          <w:rFonts w:hint="eastAsia" w:ascii="Times New Roman" w:hAnsi="Times New Roman" w:cs="Times New Roman"/>
          <w:b w:val="0"/>
          <w:color w:val="auto"/>
          <w:sz w:val="30"/>
          <w:szCs w:val="30"/>
          <w:highlight w:val="none"/>
        </w:rPr>
        <w:t>2</w:t>
      </w:r>
      <w:r>
        <w:rPr>
          <w:rFonts w:hint="eastAsia" w:ascii="Times New Roman" w:hAnsi="Times New Roman" w:cs="Times New Roman"/>
          <w:b w:val="0"/>
          <w:color w:val="auto"/>
          <w:sz w:val="30"/>
          <w:szCs w:val="30"/>
          <w:highlight w:val="none"/>
          <w:lang w:val="en-US" w:eastAsia="zh-CN"/>
        </w:rPr>
        <w:t>8</w:t>
      </w:r>
      <w:r>
        <w:rPr>
          <w:rFonts w:hint="eastAsia" w:ascii="Times New Roman" w:hAnsi="Times New Roman" w:cs="Times New Roman"/>
          <w:b w:val="0"/>
          <w:color w:val="auto"/>
          <w:sz w:val="30"/>
          <w:szCs w:val="30"/>
          <w:highlight w:val="none"/>
        </w:rPr>
        <w:t>、质疑处理</w:t>
      </w:r>
      <w:bookmarkEnd w:id="173"/>
    </w:p>
    <w:p w14:paraId="512A3997">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提出质疑的投标人应当是参与所质疑项目采购活动的投标人。潜在投标人依法获取其可质疑的采购文件的，可以对采购文件提出质疑。</w:t>
      </w:r>
    </w:p>
    <w:p w14:paraId="7F9CCF24">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E04D681">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2010DA34">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163BC8DE">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7B504195">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投标人应当在法定质疑期内一次性提出针对同一采购程序环节的质疑。投标人如在法定期限内对同一采购程序环节提出多次质疑的，采购代理机构、采购人将只对投标人第一次质疑作出答复。</w:t>
      </w:r>
    </w:p>
    <w:p w14:paraId="197B114D">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投标人如组成联合体参加投标，则《质疑函范本》中要求签字、盖章、加盖公章之处，联合体各方均须按要求签字、盖章、加盖公章。</w:t>
      </w:r>
    </w:p>
    <w:p w14:paraId="10C8C53B">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投标人应以书面形式向采购人或者其委托的采购代理机构提出质疑。质疑超出采购机构代理范围的，投标人应当向采购人提出。</w:t>
      </w:r>
    </w:p>
    <w:p w14:paraId="6318E9E8">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接收质疑函的方式：现场接收或邮寄接收。</w:t>
      </w:r>
    </w:p>
    <w:p w14:paraId="1FEE47A7">
      <w:pPr>
        <w:spacing w:line="560" w:lineRule="exact"/>
        <w:ind w:firstLine="480"/>
        <w:rPr>
          <w:rFonts w:hint="eastAsia" w:eastAsia="宋体"/>
          <w:color w:val="auto"/>
          <w:sz w:val="24"/>
          <w:szCs w:val="24"/>
          <w:highlight w:val="none"/>
          <w:lang w:eastAsia="zh-CN"/>
        </w:rPr>
      </w:pPr>
      <w:r>
        <w:rPr>
          <w:rFonts w:hint="eastAsia"/>
          <w:color w:val="auto"/>
          <w:sz w:val="24"/>
          <w:szCs w:val="24"/>
          <w:highlight w:val="none"/>
        </w:rPr>
        <w:t xml:space="preserve">联系部门： </w:t>
      </w:r>
      <w:r>
        <w:rPr>
          <w:rFonts w:hint="eastAsia"/>
          <w:color w:val="auto"/>
          <w:sz w:val="24"/>
          <w:szCs w:val="24"/>
          <w:highlight w:val="none"/>
          <w:lang w:eastAsia="zh-CN"/>
        </w:rPr>
        <w:t>江苏中煊工程技术咨询有限公司</w:t>
      </w:r>
      <w:r>
        <w:rPr>
          <w:rFonts w:hint="eastAsia"/>
          <w:color w:val="auto"/>
          <w:sz w:val="24"/>
          <w:szCs w:val="24"/>
          <w:highlight w:val="none"/>
        </w:rPr>
        <w:t xml:space="preserve">     </w:t>
      </w:r>
      <w:r>
        <w:rPr>
          <w:rFonts w:hint="eastAsia"/>
          <w:color w:val="auto"/>
          <w:sz w:val="24"/>
          <w:szCs w:val="24"/>
          <w:highlight w:val="none"/>
          <w:lang w:eastAsia="zh-CN"/>
        </w:rPr>
        <w:t>沭阳县农业农村局</w:t>
      </w:r>
    </w:p>
    <w:p w14:paraId="07A7FA11">
      <w:pPr>
        <w:spacing w:line="560" w:lineRule="exact"/>
        <w:ind w:firstLine="480"/>
        <w:rPr>
          <w:rFonts w:hint="eastAsia" w:ascii="Times New Roman" w:hAnsi="Times New Roman"/>
          <w:color w:val="auto"/>
          <w:sz w:val="24"/>
          <w:szCs w:val="24"/>
          <w:highlight w:val="none"/>
          <w:lang w:eastAsia="zh-CN"/>
        </w:rPr>
      </w:pPr>
      <w:r>
        <w:rPr>
          <w:rFonts w:hint="eastAsia"/>
          <w:color w:val="auto"/>
          <w:sz w:val="24"/>
          <w:szCs w:val="24"/>
          <w:highlight w:val="none"/>
        </w:rPr>
        <w:t xml:space="preserve">联系电话： </w:t>
      </w:r>
      <w:r>
        <w:rPr>
          <w:rFonts w:hint="eastAsia"/>
          <w:color w:val="auto"/>
          <w:sz w:val="24"/>
          <w:szCs w:val="24"/>
          <w:highlight w:val="none"/>
          <w:lang w:eastAsia="zh-CN"/>
        </w:rPr>
        <w:t>宋青</w:t>
      </w:r>
      <w:r>
        <w:rPr>
          <w:rFonts w:hint="eastAsia"/>
          <w:color w:val="auto"/>
          <w:sz w:val="24"/>
          <w:szCs w:val="24"/>
          <w:highlight w:val="none"/>
          <w:lang w:val="en-US" w:eastAsia="zh-CN"/>
        </w:rPr>
        <w:t xml:space="preserve"> 18851371158  </w:t>
      </w:r>
      <w:r>
        <w:rPr>
          <w:rFonts w:hint="eastAsia"/>
          <w:color w:val="auto"/>
          <w:sz w:val="24"/>
          <w:highlight w:val="none"/>
          <w:lang w:eastAsia="zh-CN"/>
        </w:rPr>
        <w:t>张明</w:t>
      </w:r>
      <w:r>
        <w:rPr>
          <w:rFonts w:hint="eastAsia"/>
          <w:color w:val="auto"/>
          <w:sz w:val="24"/>
          <w:highlight w:val="none"/>
          <w:lang w:val="en-US" w:eastAsia="zh-CN"/>
        </w:rPr>
        <w:t xml:space="preserve"> </w:t>
      </w:r>
      <w:r>
        <w:rPr>
          <w:rFonts w:hint="eastAsia" w:ascii="Times New Roman" w:hAnsi="Times New Roman"/>
          <w:color w:val="auto"/>
          <w:sz w:val="24"/>
          <w:szCs w:val="24"/>
          <w:highlight w:val="none"/>
          <w:lang w:eastAsia="zh-CN"/>
        </w:rPr>
        <w:t>19952520750</w:t>
      </w:r>
    </w:p>
    <w:p w14:paraId="4BE06BEC">
      <w:pPr>
        <w:spacing w:line="560" w:lineRule="exact"/>
        <w:ind w:firstLine="480"/>
        <w:rPr>
          <w:color w:val="auto"/>
          <w:sz w:val="24"/>
          <w:szCs w:val="24"/>
          <w:highlight w:val="none"/>
        </w:rPr>
      </w:pPr>
      <w:r>
        <w:rPr>
          <w:rFonts w:hint="eastAsia"/>
          <w:color w:val="auto"/>
          <w:sz w:val="24"/>
          <w:szCs w:val="24"/>
          <w:highlight w:val="none"/>
        </w:rPr>
        <w:t xml:space="preserve">通讯地址： </w:t>
      </w:r>
      <w:r>
        <w:rPr>
          <w:rFonts w:hint="eastAsia" w:ascii="Times New Roman" w:hAnsi="Times New Roman"/>
          <w:color w:val="auto"/>
          <w:sz w:val="24"/>
          <w:szCs w:val="24"/>
          <w:highlight w:val="none"/>
          <w:lang w:eastAsia="zh-CN"/>
        </w:rPr>
        <w:t>沭阳县尚书苑路尚书苑东门北侧</w:t>
      </w:r>
      <w:r>
        <w:rPr>
          <w:rFonts w:hint="eastAsia"/>
          <w:color w:val="auto"/>
          <w:sz w:val="24"/>
          <w:szCs w:val="24"/>
          <w:highlight w:val="none"/>
        </w:rPr>
        <w:t xml:space="preserve">    沭阳县学院路5号</w:t>
      </w:r>
    </w:p>
    <w:p w14:paraId="3F06A63B">
      <w:pPr>
        <w:spacing w:line="560" w:lineRule="exact"/>
        <w:ind w:firstLine="480"/>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.5 以下情形的质疑不予受理</w:t>
      </w:r>
    </w:p>
    <w:p w14:paraId="132E4CD0">
      <w:pPr>
        <w:spacing w:line="560" w:lineRule="exact"/>
        <w:ind w:firstLine="480"/>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.5.1 内容不符合《政府采购质疑和投诉办法》第十二条规定的质疑。</w:t>
      </w:r>
    </w:p>
    <w:p w14:paraId="65BACAD1">
      <w:pPr>
        <w:spacing w:line="560" w:lineRule="exact"/>
        <w:ind w:firstLine="480"/>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.5.2 超出政府采购法定期限的质疑。</w:t>
      </w:r>
    </w:p>
    <w:p w14:paraId="0BD9BA6D">
      <w:pPr>
        <w:spacing w:line="560" w:lineRule="exact"/>
        <w:ind w:firstLine="480"/>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.5.3 以传真、电子邮件等方式递交的非原件形式的质疑。</w:t>
      </w:r>
    </w:p>
    <w:p w14:paraId="4C137A71">
      <w:pPr>
        <w:spacing w:line="560" w:lineRule="exact"/>
        <w:ind w:firstLine="480"/>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.5.4 未参加投标活动的投标人或在投标活动中自身权益未受到损害的投标人所提出的质疑。</w:t>
      </w:r>
    </w:p>
    <w:p w14:paraId="1BA1E11F">
      <w:pPr>
        <w:spacing w:line="560" w:lineRule="exact"/>
        <w:ind w:firstLine="480"/>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.5.5投标人组成联合体参加投标，联合体中任何一方或多方未按要求签字、盖章、加盖公章的质疑。</w:t>
      </w:r>
    </w:p>
    <w:p w14:paraId="7290DA0B">
      <w:pPr>
        <w:spacing w:line="560" w:lineRule="exact"/>
        <w:ind w:firstLine="468"/>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2F6E8A4C">
      <w:pPr>
        <w:spacing w:line="560" w:lineRule="exact"/>
        <w:ind w:firstLine="468"/>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.7  质疑供应商对采购人、采购代理机构的答复不满意，或者采购人、采购代理机构未在规定时间内作出答复的，可以在答复期满后15个工作日内向同级财政部门提起投诉。</w:t>
      </w:r>
    </w:p>
    <w:p w14:paraId="24EF4274">
      <w:pPr>
        <w:pStyle w:val="187"/>
        <w:spacing w:before="0" w:after="0" w:line="560" w:lineRule="exact"/>
        <w:ind w:firstLine="600"/>
        <w:rPr>
          <w:rFonts w:ascii="Times New Roman" w:hAnsi="Times New Roman" w:cs="Times New Roman"/>
          <w:b w:val="0"/>
          <w:color w:val="auto"/>
          <w:sz w:val="30"/>
          <w:szCs w:val="30"/>
          <w:highlight w:val="none"/>
        </w:rPr>
      </w:pPr>
      <w:r>
        <w:rPr>
          <w:rFonts w:hint="eastAsia" w:ascii="Times New Roman" w:hAnsi="Times New Roman" w:cs="Times New Roman"/>
          <w:b w:val="0"/>
          <w:color w:val="auto"/>
          <w:sz w:val="30"/>
          <w:szCs w:val="30"/>
          <w:highlight w:val="none"/>
        </w:rPr>
        <w:t>30、中标通知书</w:t>
      </w:r>
    </w:p>
    <w:p w14:paraId="33C2A5DE">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bookmarkStart w:id="174" w:name="_Toc120614220"/>
      <w:bookmarkStart w:id="175" w:name="_Toc20823308"/>
      <w:bookmarkStart w:id="176" w:name="_Toc513029236"/>
      <w:bookmarkStart w:id="177" w:name="_Toc16938552"/>
      <w:r>
        <w:rPr>
          <w:rFonts w:hint="eastAsia" w:ascii="宋体" w:hAnsi="宋体" w:eastAsia="宋体" w:cs="宋体"/>
          <w:color w:val="auto"/>
          <w:sz w:val="24"/>
          <w:szCs w:val="24"/>
          <w:highlight w:val="none"/>
        </w:rPr>
        <w:t>29.l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1E671646">
      <w:pPr>
        <w:keepNext w:val="0"/>
        <w:keepLines w:val="0"/>
        <w:pageBreakBefore w:val="0"/>
        <w:widowControl w:val="0"/>
        <w:spacing w:line="360" w:lineRule="auto"/>
        <w:ind w:firstLine="480"/>
        <w:jc w:val="left"/>
        <w:outlineLvl w:val="9"/>
        <w:rPr>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3793532D">
      <w:pPr>
        <w:pStyle w:val="185"/>
        <w:spacing w:before="0" w:after="0" w:line="560" w:lineRule="exact"/>
        <w:rPr>
          <w:color w:val="auto"/>
          <w:highlight w:val="none"/>
        </w:rPr>
      </w:pPr>
      <w:r>
        <w:rPr>
          <w:rFonts w:hint="eastAsia"/>
          <w:color w:val="auto"/>
          <w:highlight w:val="none"/>
        </w:rPr>
        <w:t>七、授予合同</w:t>
      </w:r>
      <w:bookmarkEnd w:id="174"/>
    </w:p>
    <w:bookmarkEnd w:id="175"/>
    <w:bookmarkEnd w:id="176"/>
    <w:bookmarkEnd w:id="177"/>
    <w:p w14:paraId="447E4BAB">
      <w:pPr>
        <w:keepNext w:val="0"/>
        <w:keepLines w:val="0"/>
        <w:pageBreakBefore w:val="0"/>
        <w:widowControl w:val="0"/>
        <w:spacing w:line="360" w:lineRule="auto"/>
        <w:ind w:firstLine="562"/>
        <w:jc w:val="left"/>
        <w:outlineLvl w:val="9"/>
        <w:rPr>
          <w:rFonts w:hint="eastAsia" w:ascii="宋体" w:hAnsi="宋体" w:eastAsia="宋体" w:cs="宋体"/>
          <w:b/>
          <w:bCs/>
          <w:color w:val="auto"/>
          <w:sz w:val="28"/>
          <w:szCs w:val="28"/>
          <w:highlight w:val="none"/>
        </w:rPr>
      </w:pPr>
      <w:bookmarkStart w:id="178" w:name="_Toc16938553"/>
      <w:bookmarkStart w:id="179" w:name="_Toc20823309"/>
      <w:bookmarkStart w:id="180" w:name="_Toc513029237"/>
      <w:r>
        <w:rPr>
          <w:rFonts w:hint="eastAsia" w:ascii="宋体" w:hAnsi="宋体" w:eastAsia="宋体" w:cs="宋体"/>
          <w:b/>
          <w:bCs/>
          <w:color w:val="auto"/>
          <w:sz w:val="28"/>
          <w:szCs w:val="28"/>
          <w:highlight w:val="none"/>
        </w:rPr>
        <w:t>30. 签订合同</w:t>
      </w:r>
    </w:p>
    <w:p w14:paraId="799980E8">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4"/>
          <w:highlight w:val="none"/>
        </w:rPr>
        <w:t>30</w:t>
      </w:r>
      <w:r>
        <w:rPr>
          <w:rFonts w:hint="eastAsia" w:ascii="宋体" w:hAnsi="宋体" w:eastAsia="宋体" w:cs="宋体"/>
          <w:color w:val="auto"/>
          <w:sz w:val="24"/>
          <w:szCs w:val="24"/>
          <w:highlight w:val="none"/>
        </w:rPr>
        <w:t>.l中标人应当在中标通知书发出之日起15日内，按照招标文件确定的事项与采购人签订政府采购合同。</w:t>
      </w:r>
      <w:r>
        <w:rPr>
          <w:rFonts w:hint="eastAsia" w:ascii="宋体" w:hAnsi="宋体" w:eastAsia="宋体" w:cs="宋体"/>
          <w:bCs/>
          <w:color w:val="auto"/>
          <w:sz w:val="24"/>
          <w:highlight w:val="none"/>
          <w:lang w:val="zh-CN"/>
        </w:rPr>
        <w:t>并在签订之日起2个工作日内将政府采购合同在指定的媒体上公告，但政府采购合同中涉及国家秘密、商业秘密的内容除外。</w:t>
      </w:r>
    </w:p>
    <w:p w14:paraId="1A6FDF6D">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招标文件、中标人的投标文件及招标过程中有关澄清、承诺文件均应作为合同附件。</w:t>
      </w:r>
    </w:p>
    <w:p w14:paraId="498B9819">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22E3F2A6">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30.4本项目的非主体、非关键性工作是否允许分包按以下第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种方式确定：</w:t>
      </w:r>
    </w:p>
    <w:p w14:paraId="01C19F47">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4B9397A0">
      <w:pPr>
        <w:keepNext w:val="0"/>
        <w:keepLines w:val="0"/>
        <w:pageBreakBefore w:val="0"/>
        <w:widowControl w:val="0"/>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2.不允许分包。未经采购人同意，中标人也不得采用分包形式履行合同,否则采购人有权终止合同。转包或分包造成采购人损失的，中标人应承担相应赔偿责任。</w:t>
      </w:r>
    </w:p>
    <w:p w14:paraId="331BEFCE">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30.4履约保证金</w:t>
      </w:r>
    </w:p>
    <w:p w14:paraId="6FEBB84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按照以下第</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u w:val="single"/>
          <w:lang w:val="en-US" w:eastAsia="zh-CN"/>
        </w:rPr>
        <w:t>2</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zh-CN"/>
        </w:rPr>
        <w:t>方式确定履约保证收取方式。</w:t>
      </w:r>
    </w:p>
    <w:p w14:paraId="7349C58E">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(1)不收取履约保证金。</w:t>
      </w:r>
    </w:p>
    <w:p w14:paraId="5600A065">
      <w:pPr>
        <w:spacing w:line="560" w:lineRule="exact"/>
        <w:ind w:firstLine="480"/>
        <w:rPr>
          <w:rFonts w:hint="eastAsia" w:ascii="宋体" w:hAnsi="宋体" w:eastAsia="宋体" w:cs="宋体"/>
          <w:bCs/>
          <w:color w:val="auto"/>
          <w:sz w:val="24"/>
          <w:szCs w:val="22"/>
          <w:highlight w:val="none"/>
          <w:lang w:val="zh-CN"/>
        </w:rPr>
      </w:pPr>
      <w:r>
        <w:rPr>
          <w:rFonts w:hint="eastAsia" w:ascii="宋体" w:hAnsi="宋体" w:eastAsia="宋体" w:cs="宋体"/>
          <w:bCs/>
          <w:color w:val="auto"/>
          <w:sz w:val="24"/>
          <w:highlight w:val="none"/>
          <w:lang w:val="zh-CN"/>
        </w:rPr>
        <w:t>(2)履约保证金</w:t>
      </w:r>
      <w:r>
        <w:rPr>
          <w:rFonts w:hint="eastAsia" w:ascii="宋体" w:hAnsi="宋体" w:eastAsia="宋体" w:cs="宋体"/>
          <w:bCs/>
          <w:color w:val="auto"/>
          <w:sz w:val="24"/>
          <w:highlight w:val="none"/>
          <w:lang w:val="en-US" w:eastAsia="zh-CN"/>
        </w:rPr>
        <w:t>须</w:t>
      </w:r>
      <w:r>
        <w:rPr>
          <w:rFonts w:hint="eastAsia" w:ascii="宋体" w:hAnsi="宋体" w:eastAsia="宋体" w:cs="宋体"/>
          <w:bCs/>
          <w:color w:val="auto"/>
          <w:sz w:val="24"/>
          <w:highlight w:val="none"/>
          <w:lang w:val="zh-CN"/>
        </w:rPr>
        <w:t>在采购合同签订前（</w:t>
      </w:r>
      <w:r>
        <w:rPr>
          <w:rFonts w:hint="eastAsia" w:ascii="宋体" w:hAnsi="宋体" w:eastAsia="宋体" w:cs="宋体"/>
          <w:bCs/>
          <w:color w:val="auto"/>
          <w:sz w:val="24"/>
          <w:highlight w:val="none"/>
          <w:lang w:val="en-US" w:eastAsia="zh-CN"/>
        </w:rPr>
        <w:t>即</w:t>
      </w:r>
      <w:r>
        <w:rPr>
          <w:rFonts w:hint="eastAsia" w:ascii="宋体" w:hAnsi="宋体" w:eastAsia="宋体" w:cs="宋体"/>
          <w:color w:val="auto"/>
          <w:sz w:val="24"/>
          <w:szCs w:val="24"/>
          <w:highlight w:val="none"/>
        </w:rPr>
        <w:t>在中标通知书发出之日起15日内</w:t>
      </w:r>
      <w:r>
        <w:rPr>
          <w:rFonts w:hint="eastAsia" w:ascii="宋体" w:hAnsi="宋体" w:eastAsia="宋体" w:cs="宋体"/>
          <w:bCs/>
          <w:color w:val="auto"/>
          <w:sz w:val="24"/>
          <w:highlight w:val="none"/>
          <w:lang w:val="zh-CN"/>
        </w:rPr>
        <w:t>）提交，履约保证金的金额：按采购合同总价的</w:t>
      </w:r>
      <w:r>
        <w:rPr>
          <w:rFonts w:hint="eastAsia" w:ascii="宋体" w:hAnsi="宋体" w:eastAsia="宋体" w:cs="宋体"/>
          <w:bCs/>
          <w:color w:val="auto"/>
          <w:sz w:val="24"/>
          <w:highlight w:val="none"/>
          <w:u w:val="single"/>
          <w:lang w:val="en-US" w:eastAsia="zh-CN"/>
        </w:rPr>
        <w:t xml:space="preserve"> 5 </w:t>
      </w:r>
      <w:r>
        <w:rPr>
          <w:rFonts w:hint="eastAsia" w:ascii="宋体" w:hAnsi="宋体" w:eastAsia="宋体" w:cs="宋体"/>
          <w:bCs/>
          <w:color w:val="auto"/>
          <w:sz w:val="24"/>
          <w:highlight w:val="none"/>
          <w:lang w:val="zh-CN"/>
        </w:rPr>
        <w:t>%计取。</w:t>
      </w:r>
      <w:r>
        <w:rPr>
          <w:rFonts w:hint="eastAsia" w:ascii="宋体" w:hAnsi="宋体" w:eastAsia="宋体" w:cs="宋体"/>
          <w:bCs/>
          <w:color w:val="auto"/>
          <w:sz w:val="24"/>
          <w:szCs w:val="22"/>
          <w:highlight w:val="none"/>
          <w:lang w:val="zh-CN"/>
        </w:rPr>
        <w:t>除银行电汇、网上银行（从中标人法人基本存款账户转出）外，供应商还可选用银行保函、担保公司的保证担保或保险公司的保证保险等多种形式缴纳。</w:t>
      </w:r>
    </w:p>
    <w:p w14:paraId="57141EA7">
      <w:pPr>
        <w:spacing w:line="560" w:lineRule="exact"/>
        <w:ind w:firstLine="482"/>
        <w:rPr>
          <w:rFonts w:hint="eastAsia" w:ascii="宋体" w:hAnsi="宋体" w:eastAsia="宋体" w:cs="宋体"/>
          <w:b/>
          <w:bCs w:val="0"/>
          <w:color w:val="auto"/>
          <w:sz w:val="24"/>
          <w:szCs w:val="22"/>
          <w:highlight w:val="none"/>
          <w:lang w:val="en-US" w:eastAsia="zh-CN"/>
        </w:rPr>
      </w:pPr>
      <w:r>
        <w:rPr>
          <w:rFonts w:hint="eastAsia" w:ascii="宋体" w:hAnsi="宋体" w:eastAsia="宋体" w:cs="宋体"/>
          <w:b/>
          <w:bCs w:val="0"/>
          <w:color w:val="auto"/>
          <w:sz w:val="24"/>
          <w:highlight w:val="none"/>
          <w:lang w:val="zh-CN"/>
        </w:rPr>
        <w:t>履约保证金</w:t>
      </w:r>
      <w:r>
        <w:rPr>
          <w:rFonts w:hint="eastAsia" w:ascii="宋体" w:hAnsi="宋体" w:eastAsia="宋体" w:cs="宋体"/>
          <w:b/>
          <w:bCs w:val="0"/>
          <w:color w:val="auto"/>
          <w:sz w:val="24"/>
          <w:highlight w:val="none"/>
          <w:lang w:val="en-US" w:eastAsia="zh-CN"/>
        </w:rPr>
        <w:t>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p>
    <w:p w14:paraId="5BCF1068">
      <w:pPr>
        <w:spacing w:line="520" w:lineRule="exact"/>
        <w:ind w:firstLine="482"/>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05C62235">
      <w:pPr>
        <w:spacing w:line="520" w:lineRule="exact"/>
        <w:ind w:firstLine="482"/>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履约保证金退还的条件：按以下</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b</w:t>
      </w:r>
      <w:r>
        <w:rPr>
          <w:rFonts w:hint="eastAsia" w:ascii="宋体" w:hAnsi="宋体" w:eastAsia="宋体" w:cs="宋体"/>
          <w:bCs/>
          <w:color w:val="auto"/>
          <w:sz w:val="24"/>
          <w:highlight w:val="none"/>
          <w:lang w:val="zh-CN"/>
        </w:rPr>
        <w:t>方式实行：</w:t>
      </w:r>
    </w:p>
    <w:p w14:paraId="1FAC0546">
      <w:pPr>
        <w:spacing w:line="520" w:lineRule="exact"/>
        <w:ind w:firstLine="482"/>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a、货物类项目，项目验收合格，出具验收报告及履约保证金收据申请退付；</w:t>
      </w:r>
    </w:p>
    <w:p w14:paraId="0534D4B2">
      <w:pPr>
        <w:spacing w:line="520" w:lineRule="exact"/>
        <w:ind w:firstLine="482"/>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b、服务类项目，项目履约期满评价合格，出具履约评价报告及履约保证金收据申请退付；</w:t>
      </w:r>
    </w:p>
    <w:p w14:paraId="60A6583E">
      <w:pPr>
        <w:spacing w:line="520" w:lineRule="exact"/>
        <w:ind w:firstLine="482"/>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c、工程类项目，项目完工验收合格，出具完工证明及履约保证金收据申请退付；</w:t>
      </w:r>
    </w:p>
    <w:p w14:paraId="16608B6B">
      <w:pPr>
        <w:spacing w:line="520" w:lineRule="exact"/>
        <w:ind w:firstLine="482"/>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履约保证金退还时间：采购单位收到供应商退付申请后5个工作日内退还；</w:t>
      </w:r>
    </w:p>
    <w:p w14:paraId="6D3BF4A3">
      <w:pPr>
        <w:spacing w:line="520" w:lineRule="exact"/>
        <w:ind w:firstLine="482"/>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履约保证金不予退还情形：除不可抗力外，供应商不履行与采购人订立的采购合同的，履约保证金不予退还，给采购人造成的损失超过履约保证金数额的，还应当对超过部分予以赔偿；</w:t>
      </w:r>
    </w:p>
    <w:p w14:paraId="51674E7E">
      <w:pPr>
        <w:spacing w:line="520" w:lineRule="exact"/>
        <w:ind w:firstLine="482"/>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逾期退还履约保证金的违约责任：除应当退还履约保证金外，还应当按中国人民银行同期贷款基准利率上浮 20％后的利率支付超期资金占用费，但因供应商自身原因导致无法及时退还的除外。</w:t>
      </w:r>
    </w:p>
    <w:p w14:paraId="6A9BF58C">
      <w:pPr>
        <w:keepNext/>
        <w:keepLines/>
        <w:ind w:firstLine="600"/>
        <w:outlineLvl w:val="3"/>
        <w:rPr>
          <w:rFonts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hint="eastAsia" w:ascii="黑体" w:hAnsi="宋体" w:eastAsia="黑体"/>
          <w:bCs/>
          <w:color w:val="auto"/>
          <w:sz w:val="30"/>
          <w:szCs w:val="30"/>
          <w:highlight w:val="none"/>
          <w:lang w:val="en-US" w:eastAsia="zh-CN"/>
        </w:rPr>
        <w:t>1</w:t>
      </w:r>
      <w:r>
        <w:rPr>
          <w:rFonts w:hint="eastAsia" w:ascii="黑体" w:hAnsi="宋体" w:eastAsia="黑体"/>
          <w:bCs/>
          <w:color w:val="auto"/>
          <w:sz w:val="30"/>
          <w:szCs w:val="30"/>
          <w:highlight w:val="none"/>
        </w:rPr>
        <w:t>、</w:t>
      </w:r>
      <w:r>
        <w:rPr>
          <w:rFonts w:hint="eastAsia" w:ascii="黑体" w:hAnsi="宋体" w:eastAsia="黑体"/>
          <w:bCs/>
          <w:color w:val="auto"/>
          <w:sz w:val="30"/>
          <w:szCs w:val="30"/>
          <w:highlight w:val="none"/>
          <w:lang w:eastAsia="zh-CN"/>
        </w:rPr>
        <w:t>服务</w:t>
      </w:r>
      <w:r>
        <w:rPr>
          <w:rFonts w:hint="eastAsia" w:ascii="黑体" w:hAnsi="宋体" w:eastAsia="黑体"/>
          <w:bCs/>
          <w:color w:val="auto"/>
          <w:sz w:val="30"/>
          <w:szCs w:val="30"/>
          <w:highlight w:val="none"/>
        </w:rPr>
        <w:t>（包含与</w:t>
      </w:r>
      <w:r>
        <w:rPr>
          <w:rFonts w:hint="eastAsia" w:ascii="黑体" w:hAnsi="宋体" w:eastAsia="黑体"/>
          <w:bCs/>
          <w:color w:val="auto"/>
          <w:sz w:val="30"/>
          <w:szCs w:val="30"/>
          <w:highlight w:val="none"/>
          <w:lang w:eastAsia="zh-CN"/>
        </w:rPr>
        <w:t>服务</w:t>
      </w:r>
      <w:r>
        <w:rPr>
          <w:rFonts w:hint="eastAsia" w:ascii="黑体" w:hAnsi="宋体" w:eastAsia="黑体"/>
          <w:bCs/>
          <w:color w:val="auto"/>
          <w:sz w:val="30"/>
          <w:szCs w:val="30"/>
          <w:highlight w:val="none"/>
        </w:rPr>
        <w:t>相关的服务）的追加</w:t>
      </w:r>
    </w:p>
    <w:p w14:paraId="6A11920A">
      <w:pPr>
        <w:spacing w:line="560" w:lineRule="exact"/>
        <w:ind w:firstLine="480"/>
        <w:rPr>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.1政府采购合同履行中，采购人需追加与合同标的相同的</w:t>
      </w:r>
      <w:r>
        <w:rPr>
          <w:rFonts w:hint="eastAsia" w:ascii="宋体" w:hAnsi="宋体"/>
          <w:color w:val="auto"/>
          <w:sz w:val="24"/>
          <w:szCs w:val="24"/>
          <w:highlight w:val="none"/>
          <w:lang w:eastAsia="zh-CN"/>
        </w:rPr>
        <w:t>服务</w:t>
      </w:r>
      <w:r>
        <w:rPr>
          <w:rFonts w:hint="eastAsia" w:ascii="宋体" w:hAnsi="宋体"/>
          <w:color w:val="auto"/>
          <w:sz w:val="24"/>
          <w:szCs w:val="24"/>
          <w:highlight w:val="none"/>
        </w:rPr>
        <w:t>（包含与</w:t>
      </w:r>
      <w:r>
        <w:rPr>
          <w:rFonts w:hint="eastAsia" w:ascii="宋体" w:hAnsi="宋体"/>
          <w:color w:val="auto"/>
          <w:sz w:val="24"/>
          <w:szCs w:val="24"/>
          <w:highlight w:val="none"/>
          <w:lang w:eastAsia="zh-CN"/>
        </w:rPr>
        <w:t>服务</w:t>
      </w:r>
      <w:r>
        <w:rPr>
          <w:rFonts w:hint="eastAsia" w:ascii="宋体" w:hAnsi="宋体"/>
          <w:color w:val="auto"/>
          <w:sz w:val="24"/>
          <w:szCs w:val="24"/>
          <w:highlight w:val="none"/>
        </w:rPr>
        <w:t>相关的服务）的，在不改变合同其他条款的前提下，可以与中标人协商签订补充合同，但所有补充合同的采购金额不超过原合同金额10%。</w:t>
      </w:r>
    </w:p>
    <w:bookmarkEnd w:id="178"/>
    <w:bookmarkEnd w:id="179"/>
    <w:bookmarkEnd w:id="180"/>
    <w:p w14:paraId="5827EE88">
      <w:pPr>
        <w:keepNext w:val="0"/>
        <w:keepLines w:val="0"/>
        <w:pageBreakBefore w:val="0"/>
        <w:widowControl w:val="0"/>
        <w:spacing w:line="360" w:lineRule="auto"/>
        <w:ind w:firstLine="562"/>
        <w:jc w:val="left"/>
        <w:outlineLvl w:val="9"/>
        <w:rPr>
          <w:rFonts w:hint="eastAsia" w:ascii="宋体" w:hAnsi="宋体" w:eastAsia="宋体" w:cs="宋体"/>
          <w:b/>
          <w:bCs/>
          <w:color w:val="auto"/>
          <w:sz w:val="28"/>
          <w:szCs w:val="28"/>
          <w:highlight w:val="none"/>
        </w:rPr>
      </w:pPr>
      <w:bookmarkStart w:id="181" w:name="_Toc16938558"/>
      <w:bookmarkStart w:id="182" w:name="_Toc513029242"/>
      <w:bookmarkStart w:id="183" w:name="_Toc120614221"/>
      <w:bookmarkStart w:id="184" w:name="_Toc20823314"/>
      <w:bookmarkStart w:id="185" w:name="_Toc479757207"/>
      <w:r>
        <w:rPr>
          <w:rFonts w:hint="eastAsia" w:ascii="宋体" w:hAnsi="宋体" w:eastAsia="宋体" w:cs="宋体"/>
          <w:b/>
          <w:bCs/>
          <w:color w:val="auto"/>
          <w:sz w:val="28"/>
          <w:szCs w:val="28"/>
          <w:highlight w:val="none"/>
        </w:rPr>
        <w:t>32、政府采购履约资金扶持政策</w:t>
      </w:r>
    </w:p>
    <w:p w14:paraId="76B82EB7">
      <w:pPr>
        <w:keepNext w:val="0"/>
        <w:keepLines w:val="0"/>
        <w:pageBreakBefore w:val="0"/>
        <w:widowControl w:val="0"/>
        <w:spacing w:line="360" w:lineRule="auto"/>
        <w:ind w:firstLine="480"/>
        <w:jc w:val="left"/>
        <w:outlineLvl w:val="9"/>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32.1依</w:t>
      </w:r>
      <w:r>
        <w:rPr>
          <w:rFonts w:hint="eastAsia" w:ascii="宋体" w:hAnsi="宋体" w:eastAsia="宋体" w:cs="宋体"/>
          <w:bCs/>
          <w:color w:val="auto"/>
          <w:sz w:val="24"/>
          <w:highlight w:val="none"/>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06459A3E">
      <w:pPr>
        <w:pStyle w:val="187"/>
        <w:spacing w:before="0" w:after="0" w:line="560" w:lineRule="exact"/>
        <w:ind w:firstLine="602"/>
        <w:rPr>
          <w:rFonts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rPr>
        <w:t>3</w:t>
      </w:r>
      <w:r>
        <w:rPr>
          <w:rFonts w:hint="eastAsia" w:ascii="Times New Roman" w:hAnsi="Times New Roman" w:cs="Times New Roman"/>
          <w:color w:val="auto"/>
          <w:sz w:val="30"/>
          <w:szCs w:val="30"/>
          <w:highlight w:val="none"/>
          <w:lang w:val="en-US" w:eastAsia="zh-CN"/>
        </w:rPr>
        <w:t>3</w:t>
      </w:r>
      <w:r>
        <w:rPr>
          <w:rFonts w:hint="eastAsia" w:ascii="Times New Roman" w:hAnsi="Times New Roman" w:cs="Times New Roman"/>
          <w:color w:val="auto"/>
          <w:sz w:val="30"/>
          <w:szCs w:val="30"/>
          <w:highlight w:val="none"/>
        </w:rPr>
        <w:t>、验收及付款</w:t>
      </w:r>
    </w:p>
    <w:p w14:paraId="6294725D">
      <w:pPr>
        <w:spacing w:line="560" w:lineRule="exact"/>
        <w:ind w:firstLine="482"/>
        <w:rPr>
          <w:bCs/>
          <w:color w:val="auto"/>
          <w:sz w:val="24"/>
          <w:highlight w:val="none"/>
        </w:rPr>
      </w:pPr>
      <w:r>
        <w:rPr>
          <w:rFonts w:hint="eastAsia"/>
          <w:bCs/>
          <w:color w:val="auto"/>
          <w:sz w:val="24"/>
          <w:highlight w:val="none"/>
        </w:rPr>
        <w:t>3</w:t>
      </w:r>
      <w:r>
        <w:rPr>
          <w:rFonts w:hint="eastAsia"/>
          <w:bCs/>
          <w:color w:val="auto"/>
          <w:sz w:val="24"/>
          <w:highlight w:val="none"/>
          <w:lang w:val="en-US" w:eastAsia="zh-CN"/>
        </w:rPr>
        <w:t>3</w:t>
      </w:r>
      <w:r>
        <w:rPr>
          <w:rFonts w:hint="eastAsia"/>
          <w:bCs/>
          <w:color w:val="auto"/>
          <w:sz w:val="24"/>
          <w:highlight w:val="none"/>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296368A">
      <w:pPr>
        <w:spacing w:line="560" w:lineRule="exact"/>
        <w:ind w:firstLine="482"/>
        <w:rPr>
          <w:bCs/>
          <w:color w:val="auto"/>
          <w:sz w:val="24"/>
          <w:highlight w:val="none"/>
        </w:rPr>
      </w:pPr>
      <w:r>
        <w:rPr>
          <w:rFonts w:hint="eastAsia"/>
          <w:bCs/>
          <w:color w:val="auto"/>
          <w:sz w:val="24"/>
          <w:highlight w:val="none"/>
        </w:rPr>
        <w:t>3</w:t>
      </w:r>
      <w:r>
        <w:rPr>
          <w:rFonts w:hint="eastAsia"/>
          <w:bCs/>
          <w:color w:val="auto"/>
          <w:sz w:val="24"/>
          <w:highlight w:val="none"/>
          <w:lang w:val="en-US" w:eastAsia="zh-CN"/>
        </w:rPr>
        <w:t>3</w:t>
      </w:r>
      <w:r>
        <w:rPr>
          <w:rFonts w:hint="eastAsia"/>
          <w:bCs/>
          <w:color w:val="auto"/>
          <w:sz w:val="24"/>
          <w:highlight w:val="none"/>
        </w:rPr>
        <w:t>.2采购人可以邀请参加本项目的其他投标人或者第三方机构参与验收。参与验收的投标人或者第三方机构的意见作为验收书的参考资料一并存档。</w:t>
      </w:r>
    </w:p>
    <w:p w14:paraId="064BE6F6">
      <w:pPr>
        <w:spacing w:line="560" w:lineRule="exact"/>
        <w:ind w:firstLine="482"/>
        <w:rPr>
          <w:bCs/>
          <w:color w:val="auto"/>
          <w:sz w:val="24"/>
          <w:highlight w:val="none"/>
        </w:rPr>
      </w:pPr>
      <w:r>
        <w:rPr>
          <w:rFonts w:hint="eastAsia"/>
          <w:bCs/>
          <w:color w:val="auto"/>
          <w:sz w:val="24"/>
          <w:highlight w:val="none"/>
        </w:rPr>
        <w:t>3</w:t>
      </w:r>
      <w:r>
        <w:rPr>
          <w:rFonts w:hint="eastAsia"/>
          <w:bCs/>
          <w:color w:val="auto"/>
          <w:sz w:val="24"/>
          <w:highlight w:val="none"/>
          <w:lang w:val="en-US" w:eastAsia="zh-CN"/>
        </w:rPr>
        <w:t>3</w:t>
      </w:r>
      <w:r>
        <w:rPr>
          <w:rFonts w:hint="eastAsia"/>
          <w:bCs/>
          <w:color w:val="auto"/>
          <w:sz w:val="24"/>
          <w:highlight w:val="none"/>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9ECE70B">
      <w:pPr>
        <w:spacing w:line="560" w:lineRule="exact"/>
        <w:ind w:firstLine="482"/>
        <w:rPr>
          <w:rFonts w:cs="宋体"/>
          <w:color w:val="auto"/>
          <w:sz w:val="24"/>
          <w:highlight w:val="none"/>
        </w:rPr>
      </w:pPr>
      <w:r>
        <w:rPr>
          <w:rFonts w:hint="eastAsia"/>
          <w:bCs/>
          <w:color w:val="auto"/>
          <w:sz w:val="24"/>
          <w:highlight w:val="none"/>
        </w:rPr>
        <w:t>3</w:t>
      </w:r>
      <w:r>
        <w:rPr>
          <w:rFonts w:hint="eastAsia"/>
          <w:bCs/>
          <w:color w:val="auto"/>
          <w:sz w:val="24"/>
          <w:highlight w:val="none"/>
          <w:lang w:val="en-US" w:eastAsia="zh-CN"/>
        </w:rPr>
        <w:t>3</w:t>
      </w:r>
      <w:r>
        <w:rPr>
          <w:rFonts w:hint="eastAsia"/>
          <w:bCs/>
          <w:color w:val="auto"/>
          <w:sz w:val="24"/>
          <w:highlight w:val="none"/>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5C0E1DE">
      <w:pPr>
        <w:spacing w:line="560" w:lineRule="exact"/>
        <w:ind w:firstLine="482"/>
        <w:rPr>
          <w:b/>
          <w:color w:val="auto"/>
          <w:sz w:val="24"/>
          <w:highlight w:val="none"/>
        </w:rPr>
      </w:pPr>
      <w:r>
        <w:rPr>
          <w:rFonts w:hint="eastAsia"/>
          <w:b/>
          <w:color w:val="auto"/>
          <w:sz w:val="24"/>
          <w:highlight w:val="none"/>
        </w:rPr>
        <w:t>3</w:t>
      </w:r>
      <w:r>
        <w:rPr>
          <w:rFonts w:hint="eastAsia"/>
          <w:b/>
          <w:color w:val="auto"/>
          <w:sz w:val="24"/>
          <w:highlight w:val="none"/>
          <w:lang w:val="en-US" w:eastAsia="zh-CN"/>
        </w:rPr>
        <w:t>4</w:t>
      </w:r>
      <w:r>
        <w:rPr>
          <w:rFonts w:hint="eastAsia"/>
          <w:b/>
          <w:color w:val="auto"/>
          <w:sz w:val="24"/>
          <w:highlight w:val="none"/>
        </w:rPr>
        <w:t>、付款</w:t>
      </w:r>
    </w:p>
    <w:p w14:paraId="2A23CAAA">
      <w:pPr>
        <w:spacing w:line="560" w:lineRule="exact"/>
        <w:ind w:firstLine="482"/>
        <w:rPr>
          <w:bCs/>
          <w:color w:val="auto"/>
          <w:sz w:val="24"/>
          <w:highlight w:val="none"/>
        </w:rPr>
      </w:pPr>
      <w:bookmarkStart w:id="186" w:name="EBec7f529f50594afd871ea9378869e456"/>
      <w:r>
        <w:rPr>
          <w:rFonts w:hint="eastAsia"/>
          <w:bCs/>
          <w:color w:val="auto"/>
          <w:sz w:val="24"/>
          <w:highlight w:val="none"/>
        </w:rPr>
        <w:t>按照以下</w:t>
      </w:r>
      <w:r>
        <w:rPr>
          <w:rFonts w:hint="eastAsia"/>
          <w:bCs/>
          <w:color w:val="auto"/>
          <w:sz w:val="24"/>
          <w:highlight w:val="none"/>
          <w:u w:val="single"/>
          <w:lang w:eastAsia="zh-CN"/>
        </w:rPr>
        <w:t>（</w:t>
      </w:r>
      <w:r>
        <w:rPr>
          <w:rFonts w:hint="eastAsia"/>
          <w:bCs/>
          <w:color w:val="auto"/>
          <w:sz w:val="24"/>
          <w:highlight w:val="none"/>
          <w:u w:val="single"/>
          <w:lang w:val="en-US" w:eastAsia="zh-CN"/>
        </w:rPr>
        <w:t>2</w:t>
      </w:r>
      <w:r>
        <w:rPr>
          <w:rFonts w:hint="eastAsia"/>
          <w:bCs/>
          <w:color w:val="auto"/>
          <w:sz w:val="24"/>
          <w:highlight w:val="none"/>
          <w:u w:val="single"/>
          <w:lang w:eastAsia="zh-CN"/>
        </w:rPr>
        <w:t>）</w:t>
      </w:r>
      <w:r>
        <w:rPr>
          <w:rFonts w:hint="eastAsia"/>
          <w:bCs/>
          <w:color w:val="auto"/>
          <w:sz w:val="24"/>
          <w:highlight w:val="none"/>
        </w:rPr>
        <w:t>确定的付款方式，采购人及时办理付款手续。对于满足合同约定支付条件的，自收到发票后10个工作日内将资金支付到合同约定的供应商账户或供应商数字人民币账户。</w:t>
      </w:r>
      <w:bookmarkEnd w:id="186"/>
    </w:p>
    <w:p w14:paraId="58560CB9">
      <w:pPr>
        <w:spacing w:line="560" w:lineRule="exact"/>
        <w:ind w:firstLine="482"/>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（1）货物类项目</w:t>
      </w:r>
    </w:p>
    <w:p w14:paraId="257AA2B8">
      <w:pPr>
        <w:spacing w:line="560" w:lineRule="exact"/>
        <w:ind w:firstLine="482"/>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预付款：合同金额的</w:t>
      </w:r>
      <w:r>
        <w:rPr>
          <w:rFonts w:hint="default" w:ascii="Times New Roman" w:hAnsi="Times New Roman" w:eastAsia="宋体" w:cs="Times New Roman"/>
          <w:bCs/>
          <w:color w:val="auto"/>
          <w:sz w:val="24"/>
          <w:szCs w:val="22"/>
          <w:highlight w:val="none"/>
          <w:u w:val="single"/>
        </w:rPr>
        <w:t xml:space="preserve"> / </w:t>
      </w:r>
      <w:r>
        <w:rPr>
          <w:rFonts w:hint="default" w:ascii="Times New Roman" w:hAnsi="Times New Roman" w:eastAsia="宋体" w:cs="Times New Roman"/>
          <w:bCs/>
          <w:color w:val="auto"/>
          <w:sz w:val="24"/>
          <w:szCs w:val="22"/>
          <w:highlight w:val="none"/>
        </w:rPr>
        <w:t xml:space="preserve">%，合同签订后按规定支付； </w:t>
      </w:r>
    </w:p>
    <w:p w14:paraId="30F49DE0">
      <w:pPr>
        <w:spacing w:line="560" w:lineRule="exact"/>
        <w:ind w:firstLine="482"/>
        <w:rPr>
          <w:rFonts w:hint="default" w:ascii="Times New Roman" w:hAnsi="Times New Roman" w:eastAsia="宋体" w:cs="Times New Roman"/>
          <w:bCs/>
          <w:color w:val="auto"/>
          <w:sz w:val="24"/>
          <w:szCs w:val="22"/>
          <w:highlight w:val="none"/>
          <w:u w:val="single"/>
        </w:rPr>
      </w:pPr>
      <w:r>
        <w:rPr>
          <w:rFonts w:hint="default" w:ascii="Times New Roman" w:hAnsi="Times New Roman" w:eastAsia="宋体" w:cs="Times New Roman"/>
          <w:bCs/>
          <w:color w:val="auto"/>
          <w:sz w:val="24"/>
          <w:szCs w:val="22"/>
          <w:highlight w:val="none"/>
        </w:rPr>
        <w:t>进度款：</w:t>
      </w:r>
      <w:bookmarkStart w:id="187" w:name="EBf1f8b954f7504a2cb44cef25707c76a6"/>
      <w:bookmarkEnd w:id="187"/>
      <w:r>
        <w:rPr>
          <w:rFonts w:hint="default" w:ascii="Times New Roman" w:hAnsi="Times New Roman" w:eastAsia="宋体" w:cs="Times New Roman"/>
          <w:bCs/>
          <w:color w:val="auto"/>
          <w:sz w:val="24"/>
          <w:szCs w:val="22"/>
          <w:highlight w:val="none"/>
          <w:u w:val="single"/>
        </w:rPr>
        <w:t xml:space="preserve">  /    。</w:t>
      </w:r>
    </w:p>
    <w:p w14:paraId="2E903A34">
      <w:pPr>
        <w:spacing w:line="560" w:lineRule="exact"/>
        <w:ind w:firstLine="482"/>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（2）服务类项目</w:t>
      </w:r>
    </w:p>
    <w:p w14:paraId="5A78D6CE">
      <w:pPr>
        <w:spacing w:line="560" w:lineRule="exact"/>
        <w:ind w:firstLine="482"/>
        <w:rPr>
          <w:rFonts w:hint="default"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预付款</w:t>
      </w:r>
      <w:r>
        <w:rPr>
          <w:rFonts w:hint="eastAsia" w:ascii="Times New Roman" w:hAnsi="Times New Roman" w:eastAsia="宋体" w:cs="Times New Roman"/>
          <w:bCs/>
          <w:color w:val="auto"/>
          <w:sz w:val="24"/>
          <w:szCs w:val="21"/>
          <w:highlight w:val="none"/>
          <w:lang w:eastAsia="zh-CN"/>
        </w:rPr>
        <w:t>：</w:t>
      </w:r>
      <w:r>
        <w:rPr>
          <w:rFonts w:hint="eastAsia" w:ascii="Times New Roman" w:hAnsi="Times New Roman" w:eastAsia="宋体" w:cs="Times New Roman"/>
          <w:bCs/>
          <w:color w:val="auto"/>
          <w:sz w:val="24"/>
          <w:szCs w:val="21"/>
          <w:highlight w:val="none"/>
        </w:rPr>
        <w:t>合同金额的10%，合同签订后按规定支付;</w:t>
      </w:r>
    </w:p>
    <w:p w14:paraId="0497E37A">
      <w:pPr>
        <w:spacing w:line="560" w:lineRule="exact"/>
        <w:ind w:firstLine="482"/>
        <w:rPr>
          <w:rFonts w:hint="eastAsia" w:ascii="Times New Roman" w:hAnsi="Times New Roman" w:eastAsia="宋体" w:cs="Times New Roman"/>
          <w:bCs/>
          <w:color w:val="auto"/>
          <w:sz w:val="24"/>
          <w:szCs w:val="21"/>
          <w:highlight w:val="none"/>
          <w:lang w:eastAsia="zh-CN"/>
        </w:rPr>
      </w:pPr>
      <w:r>
        <w:rPr>
          <w:rFonts w:hint="eastAsia" w:ascii="Times New Roman" w:hAnsi="Times New Roman" w:eastAsia="宋体" w:cs="Times New Roman"/>
          <w:bCs/>
          <w:color w:val="auto"/>
          <w:sz w:val="24"/>
          <w:szCs w:val="21"/>
          <w:highlight w:val="none"/>
        </w:rPr>
        <w:t>最终付款</w:t>
      </w:r>
      <w:r>
        <w:rPr>
          <w:rFonts w:hint="eastAsia" w:ascii="Times New Roman" w:hAnsi="Times New Roman" w:eastAsia="宋体" w:cs="Times New Roman"/>
          <w:bCs/>
          <w:color w:val="auto"/>
          <w:sz w:val="24"/>
          <w:szCs w:val="21"/>
          <w:highlight w:val="none"/>
          <w:lang w:eastAsia="zh-CN"/>
        </w:rPr>
        <w:t>：项目完成并经验收合格后</w:t>
      </w:r>
      <w:r>
        <w:rPr>
          <w:rFonts w:hint="eastAsia" w:cs="Times New Roman"/>
          <w:bCs/>
          <w:color w:val="auto"/>
          <w:sz w:val="24"/>
          <w:szCs w:val="21"/>
          <w:highlight w:val="none"/>
          <w:lang w:val="en-US" w:eastAsia="zh-CN"/>
        </w:rPr>
        <w:t>30个工作日内</w:t>
      </w:r>
      <w:r>
        <w:rPr>
          <w:rFonts w:hint="eastAsia" w:ascii="Times New Roman" w:hAnsi="Times New Roman" w:eastAsia="宋体" w:cs="Times New Roman"/>
          <w:bCs/>
          <w:color w:val="auto"/>
          <w:sz w:val="24"/>
          <w:szCs w:val="21"/>
          <w:highlight w:val="none"/>
          <w:lang w:eastAsia="zh-CN"/>
        </w:rPr>
        <w:t>，</w:t>
      </w:r>
      <w:r>
        <w:rPr>
          <w:rFonts w:hint="default" w:ascii="Times New Roman" w:hAnsi="Times New Roman" w:eastAsia="宋体" w:cs="Times New Roman"/>
          <w:bCs/>
          <w:color w:val="auto"/>
          <w:sz w:val="24"/>
          <w:szCs w:val="21"/>
          <w:highlight w:val="none"/>
          <w:lang w:val="en-US" w:eastAsia="zh-CN"/>
        </w:rPr>
        <w:t>乙方提交等额发票后支付</w:t>
      </w:r>
      <w:r>
        <w:rPr>
          <w:rFonts w:hint="eastAsia" w:ascii="Times New Roman" w:hAnsi="Times New Roman" w:eastAsia="宋体" w:cs="Times New Roman"/>
          <w:bCs/>
          <w:color w:val="auto"/>
          <w:sz w:val="24"/>
          <w:szCs w:val="21"/>
          <w:highlight w:val="none"/>
          <w:lang w:eastAsia="zh-CN"/>
        </w:rPr>
        <w:t>。</w:t>
      </w:r>
    </w:p>
    <w:p w14:paraId="279F7098">
      <w:pPr>
        <w:spacing w:line="560" w:lineRule="exact"/>
        <w:ind w:firstLine="482"/>
        <w:rPr>
          <w:rFonts w:hint="default"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注:在签订合同时，供应商明确表示无需预付款或者主动要求降低预付款比例的，采购人可不适用预付规定，合同款可以采用数字人民币形式支付。</w:t>
      </w:r>
    </w:p>
    <w:p w14:paraId="3C5FF63C">
      <w:pPr>
        <w:spacing w:line="560" w:lineRule="exact"/>
        <w:ind w:firstLine="482"/>
        <w:rPr>
          <w:rFonts w:hint="default"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lang w:eastAsia="zh-CN"/>
        </w:rPr>
        <w:t>（</w:t>
      </w:r>
      <w:r>
        <w:rPr>
          <w:rFonts w:hint="eastAsia" w:ascii="Times New Roman" w:hAnsi="Times New Roman" w:eastAsia="宋体" w:cs="Times New Roman"/>
          <w:bCs/>
          <w:color w:val="auto"/>
          <w:sz w:val="24"/>
          <w:szCs w:val="22"/>
          <w:highlight w:val="none"/>
          <w:lang w:val="en-US" w:eastAsia="zh-CN"/>
        </w:rPr>
        <w:t>3</w:t>
      </w:r>
      <w:r>
        <w:rPr>
          <w:rFonts w:hint="eastAsia" w:ascii="Times New Roman" w:hAnsi="Times New Roman" w:eastAsia="宋体" w:cs="Times New Roman"/>
          <w:bCs/>
          <w:color w:val="auto"/>
          <w:sz w:val="24"/>
          <w:szCs w:val="22"/>
          <w:highlight w:val="none"/>
          <w:lang w:eastAsia="zh-CN"/>
        </w:rPr>
        <w:t>）</w:t>
      </w:r>
      <w:r>
        <w:rPr>
          <w:rFonts w:hint="default" w:ascii="Times New Roman" w:hAnsi="Times New Roman" w:eastAsia="宋体" w:cs="Times New Roman"/>
          <w:bCs/>
          <w:color w:val="auto"/>
          <w:sz w:val="24"/>
          <w:szCs w:val="22"/>
          <w:highlight w:val="none"/>
        </w:rPr>
        <w:t>工程类项目</w:t>
      </w:r>
    </w:p>
    <w:p w14:paraId="0D18ED07">
      <w:pPr>
        <w:spacing w:line="560" w:lineRule="exact"/>
        <w:ind w:firstLine="482"/>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bCs/>
          <w:color w:val="auto"/>
          <w:sz w:val="24"/>
          <w:szCs w:val="22"/>
          <w:highlight w:val="none"/>
        </w:rPr>
        <w:t>预付款：合同金额的</w:t>
      </w:r>
      <w:r>
        <w:rPr>
          <w:rFonts w:hint="default" w:ascii="Times New Roman" w:hAnsi="Times New Roman" w:eastAsia="宋体" w:cs="Times New Roman"/>
          <w:bCs/>
          <w:color w:val="auto"/>
          <w:sz w:val="24"/>
          <w:szCs w:val="22"/>
          <w:highlight w:val="none"/>
          <w:u w:val="single"/>
        </w:rPr>
        <w:t xml:space="preserve"> /  </w:t>
      </w:r>
      <w:r>
        <w:rPr>
          <w:rFonts w:hint="default" w:ascii="Times New Roman" w:hAnsi="Times New Roman" w:eastAsia="宋体" w:cs="Times New Roman"/>
          <w:bCs/>
          <w:color w:val="auto"/>
          <w:sz w:val="24"/>
          <w:szCs w:val="22"/>
          <w:highlight w:val="none"/>
        </w:rPr>
        <w:t>%，合同签订后按规定支付；</w:t>
      </w:r>
      <w:r>
        <w:rPr>
          <w:rFonts w:hint="default" w:ascii="Times New Roman" w:hAnsi="Times New Roman" w:eastAsia="宋体" w:cs="Times New Roman"/>
          <w:color w:val="auto"/>
          <w:sz w:val="24"/>
          <w:szCs w:val="22"/>
          <w:highlight w:val="none"/>
        </w:rPr>
        <w:t xml:space="preserve"> </w:t>
      </w:r>
    </w:p>
    <w:p w14:paraId="373EC237">
      <w:pPr>
        <w:spacing w:line="560" w:lineRule="exact"/>
        <w:ind w:firstLine="482"/>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进度款：</w:t>
      </w:r>
      <w:r>
        <w:rPr>
          <w:rFonts w:hint="default" w:ascii="Times New Roman" w:hAnsi="Times New Roman" w:eastAsia="宋体" w:cs="Times New Roman"/>
          <w:bCs/>
          <w:color w:val="auto"/>
          <w:sz w:val="24"/>
          <w:szCs w:val="22"/>
          <w:highlight w:val="none"/>
          <w:u w:val="single"/>
        </w:rPr>
        <w:t xml:space="preserve">  /    。</w:t>
      </w:r>
    </w:p>
    <w:p w14:paraId="36B205FA">
      <w:pPr>
        <w:spacing w:line="560" w:lineRule="exact"/>
        <w:rPr>
          <w:rFonts w:hint="default" w:ascii="Times New Roman" w:hAnsi="Times New Roman" w:eastAsia="宋体" w:cs="Times New Roman"/>
          <w:bCs/>
          <w:color w:val="auto"/>
          <w:sz w:val="24"/>
          <w:szCs w:val="24"/>
          <w:highlight w:val="none"/>
        </w:rPr>
      </w:pPr>
      <w:bookmarkStart w:id="188" w:name="EB11398ec6946f4019bc4c35221e27b04f"/>
      <w:r>
        <w:rPr>
          <w:rFonts w:hint="default" w:ascii="Times New Roman" w:hAnsi="Times New Roman" w:eastAsia="宋体" w:cs="Times New Roman"/>
          <w:bCs/>
          <w:color w:val="auto"/>
          <w:sz w:val="24"/>
          <w:szCs w:val="22"/>
          <w:highlight w:val="none"/>
        </w:rPr>
        <w:t>注：在签订合同时，成交人明确表示无需预付款或者主动要求降低预付款比例的金额，采购人可不适用预付款规定。</w:t>
      </w:r>
      <w:bookmarkEnd w:id="188"/>
    </w:p>
    <w:p w14:paraId="028AD2C3">
      <w:pPr>
        <w:rPr>
          <w:color w:val="auto"/>
          <w:highlight w:val="none"/>
        </w:rPr>
      </w:pPr>
    </w:p>
    <w:p w14:paraId="69AE6BB3">
      <w:pPr>
        <w:rPr>
          <w:color w:val="auto"/>
          <w:highlight w:val="none"/>
        </w:rPr>
      </w:pPr>
    </w:p>
    <w:p w14:paraId="492E2302">
      <w:pPr>
        <w:rPr>
          <w:color w:val="auto"/>
          <w:highlight w:val="none"/>
        </w:rPr>
      </w:pPr>
    </w:p>
    <w:p w14:paraId="5C262F62">
      <w:pPr>
        <w:rPr>
          <w:color w:val="auto"/>
          <w:highlight w:val="none"/>
        </w:rPr>
      </w:pPr>
    </w:p>
    <w:p w14:paraId="4A11A786">
      <w:pPr>
        <w:rPr>
          <w:color w:val="auto"/>
          <w:highlight w:val="none"/>
        </w:rPr>
      </w:pPr>
    </w:p>
    <w:p w14:paraId="7F66DAD3">
      <w:pPr>
        <w:rPr>
          <w:color w:val="auto"/>
          <w:highlight w:val="none"/>
        </w:rPr>
      </w:pPr>
    </w:p>
    <w:p w14:paraId="624D1075">
      <w:pPr>
        <w:rPr>
          <w:color w:val="auto"/>
          <w:highlight w:val="none"/>
        </w:rPr>
      </w:pPr>
    </w:p>
    <w:p w14:paraId="29F34031">
      <w:pPr>
        <w:rPr>
          <w:color w:val="auto"/>
          <w:highlight w:val="none"/>
        </w:rPr>
      </w:pPr>
    </w:p>
    <w:p w14:paraId="5071E39B">
      <w:pPr>
        <w:rPr>
          <w:color w:val="auto"/>
          <w:highlight w:val="none"/>
        </w:rPr>
      </w:pPr>
    </w:p>
    <w:p w14:paraId="4E70031B">
      <w:pPr>
        <w:rPr>
          <w:color w:val="auto"/>
          <w:highlight w:val="none"/>
        </w:rPr>
      </w:pPr>
    </w:p>
    <w:p w14:paraId="447089E4">
      <w:pPr>
        <w:pStyle w:val="183"/>
        <w:rPr>
          <w:rFonts w:ascii="Times New Roman" w:eastAsia="黑体"/>
          <w:bCs/>
          <w:color w:val="auto"/>
          <w:sz w:val="44"/>
          <w:highlight w:val="none"/>
        </w:rPr>
      </w:pPr>
      <w:r>
        <w:rPr>
          <w:rFonts w:ascii="Times New Roman" w:eastAsia="黑体"/>
          <w:bCs/>
          <w:color w:val="auto"/>
          <w:sz w:val="44"/>
          <w:highlight w:val="none"/>
        </w:rPr>
        <w:br w:type="page" w:clear="all"/>
      </w:r>
    </w:p>
    <w:bookmarkEnd w:id="181"/>
    <w:bookmarkEnd w:id="182"/>
    <w:bookmarkEnd w:id="183"/>
    <w:bookmarkEnd w:id="184"/>
    <w:bookmarkEnd w:id="185"/>
    <w:p w14:paraId="72DC1A02">
      <w:pPr>
        <w:keepNext/>
        <w:ind w:firstLine="2640"/>
        <w:outlineLvl w:val="0"/>
        <w:rPr>
          <w:rFonts w:hint="default" w:eastAsia="黑体"/>
          <w:bCs/>
          <w:color w:val="auto"/>
          <w:sz w:val="44"/>
          <w:szCs w:val="28"/>
          <w:highlight w:val="none"/>
          <w:lang w:val="en-US" w:eastAsia="zh-CN"/>
        </w:rPr>
      </w:pPr>
      <w:bookmarkStart w:id="189" w:name="_Toc104802328"/>
      <w:bookmarkStart w:id="190" w:name="_Toc155086566"/>
      <w:bookmarkStart w:id="191" w:name="_Toc118461986"/>
      <w:bookmarkStart w:id="192" w:name="_Hlt16619350"/>
      <w:bookmarkStart w:id="193" w:name="_Toc120614244"/>
      <w:bookmarkStart w:id="194" w:name="_Toc20823346"/>
      <w:bookmarkStart w:id="195" w:name="_Toc16938590"/>
      <w:bookmarkStart w:id="196" w:name="_Toc462564139"/>
      <w:bookmarkStart w:id="197" w:name="_Toc479757211"/>
      <w:r>
        <w:rPr>
          <w:rFonts w:hint="eastAsia" w:eastAsia="黑体"/>
          <w:bCs/>
          <w:color w:val="auto"/>
          <w:sz w:val="44"/>
          <w:szCs w:val="28"/>
          <w:highlight w:val="none"/>
        </w:rPr>
        <w:t>第三章  合同文本</w:t>
      </w:r>
      <w:bookmarkEnd w:id="189"/>
      <w:bookmarkEnd w:id="190"/>
      <w:bookmarkEnd w:id="191"/>
      <w:r>
        <w:rPr>
          <w:rFonts w:hint="eastAsia" w:eastAsia="黑体"/>
          <w:bCs/>
          <w:color w:val="auto"/>
          <w:sz w:val="32"/>
          <w:szCs w:val="21"/>
          <w:highlight w:val="none"/>
          <w:lang w:val="en-US" w:eastAsia="zh-CN"/>
        </w:rPr>
        <w:t>(仅作参考）</w:t>
      </w:r>
    </w:p>
    <w:p w14:paraId="7FA170E2">
      <w:pPr>
        <w:jc w:val="center"/>
        <w:rPr>
          <w:rFonts w:hint="default" w:ascii="宋体" w:hAnsi="宋体" w:eastAsia="宋体" w:cs="Times New Roman"/>
          <w:color w:val="auto"/>
          <w:sz w:val="40"/>
          <w:szCs w:val="40"/>
          <w:highlight w:val="none"/>
        </w:rPr>
      </w:pPr>
      <w:bookmarkStart w:id="198" w:name="_Toc3430"/>
      <w:bookmarkStart w:id="199" w:name="_Toc4798"/>
      <w:bookmarkStart w:id="200" w:name="_Toc3842"/>
      <w:bookmarkStart w:id="201" w:name="_Toc144477736"/>
    </w:p>
    <w:p w14:paraId="486DB849">
      <w:pPr>
        <w:jc w:val="center"/>
        <w:rPr>
          <w:rFonts w:hint="default" w:ascii="Calibri" w:hAnsi="Calibri" w:eastAsia="宋体" w:cs="Times New Roman"/>
          <w:color w:val="auto"/>
          <w:sz w:val="112"/>
          <w:szCs w:val="112"/>
          <w:highlight w:val="none"/>
          <w:u w:val="none"/>
          <w:lang w:val="en-US"/>
        </w:rPr>
      </w:pPr>
      <w:r>
        <w:rPr>
          <w:rFonts w:hint="eastAsia" w:ascii="Times New Roman" w:hAnsi="Times New Roman" w:eastAsia="宋体" w:cs="方正仿宋_GBK"/>
          <w:color w:val="auto"/>
          <w:sz w:val="32"/>
          <w:szCs w:val="32"/>
          <w:highlight w:val="none"/>
          <w:u w:val="none"/>
          <w:lang w:eastAsia="zh-CN"/>
        </w:rPr>
        <w:t>沭阳县2024年非项目化等新增耕地质量等级评定项目</w:t>
      </w:r>
    </w:p>
    <w:p w14:paraId="6E43F0DC">
      <w:pPr>
        <w:jc w:val="center"/>
        <w:rPr>
          <w:rFonts w:hint="default" w:ascii="Calibri" w:hAnsi="Calibri" w:eastAsia="宋体" w:cs="Times New Roman"/>
          <w:color w:val="auto"/>
          <w:sz w:val="72"/>
          <w:szCs w:val="72"/>
          <w:highlight w:val="none"/>
        </w:rPr>
      </w:pPr>
    </w:p>
    <w:p w14:paraId="34DF4818">
      <w:pPr>
        <w:jc w:val="center"/>
        <w:rPr>
          <w:rFonts w:hint="default" w:ascii="Calibri" w:hAnsi="Calibri" w:eastAsia="宋体" w:cs="Times New Roman"/>
          <w:color w:val="auto"/>
          <w:sz w:val="72"/>
          <w:szCs w:val="72"/>
          <w:highlight w:val="none"/>
        </w:rPr>
      </w:pPr>
      <w:r>
        <w:rPr>
          <w:rFonts w:hint="default" w:ascii="Calibri" w:hAnsi="Calibri" w:eastAsia="宋体" w:cs="Times New Roman"/>
          <w:color w:val="auto"/>
          <w:sz w:val="72"/>
          <w:szCs w:val="72"/>
          <w:highlight w:val="none"/>
        </w:rPr>
        <w:t>政府采购合同</w:t>
      </w:r>
    </w:p>
    <w:p w14:paraId="25E7C7D5">
      <w:pPr>
        <w:jc w:val="center"/>
        <w:rPr>
          <w:rFonts w:hint="default" w:ascii="Calibri" w:hAnsi="Calibri" w:eastAsia="宋体" w:cs="Times New Roman"/>
          <w:color w:val="auto"/>
          <w:sz w:val="36"/>
          <w:szCs w:val="72"/>
          <w:highlight w:val="none"/>
        </w:rPr>
      </w:pPr>
    </w:p>
    <w:p w14:paraId="1072C2FE">
      <w:pPr>
        <w:jc w:val="center"/>
        <w:rPr>
          <w:rFonts w:hint="default" w:ascii="Calibri" w:hAnsi="Calibri" w:eastAsia="宋体" w:cs="Times New Roman"/>
          <w:color w:val="auto"/>
          <w:sz w:val="72"/>
          <w:szCs w:val="72"/>
          <w:highlight w:val="none"/>
        </w:rPr>
      </w:pPr>
    </w:p>
    <w:p w14:paraId="53FB22A0">
      <w:pPr>
        <w:jc w:val="center"/>
        <w:rPr>
          <w:rFonts w:hint="default" w:ascii="Calibri" w:hAnsi="Calibri" w:eastAsia="宋体" w:cs="Times New Roman"/>
          <w:color w:val="auto"/>
          <w:sz w:val="72"/>
          <w:szCs w:val="72"/>
          <w:highlight w:val="none"/>
        </w:rPr>
      </w:pPr>
    </w:p>
    <w:p w14:paraId="6E9AA5D1">
      <w:pPr>
        <w:rPr>
          <w:rFonts w:hint="default" w:ascii="Calibri" w:hAnsi="Calibri" w:eastAsia="宋体" w:cs="Times New Roman"/>
          <w:color w:val="auto"/>
          <w:szCs w:val="21"/>
          <w:highlight w:val="none"/>
        </w:rPr>
      </w:pPr>
    </w:p>
    <w:p w14:paraId="53F55BC5">
      <w:pPr>
        <w:spacing w:line="500" w:lineRule="exact"/>
        <w:ind w:firstLine="1280"/>
        <w:rPr>
          <w:rFonts w:hint="default" w:ascii="宋体" w:hAnsi="宋体" w:eastAsia="宋体" w:cs="Times New Roman"/>
          <w:b/>
          <w:color w:val="auto"/>
          <w:sz w:val="32"/>
          <w:szCs w:val="22"/>
          <w:highlight w:val="none"/>
          <w:u w:val="single"/>
        </w:rPr>
      </w:pPr>
      <w:r>
        <w:rPr>
          <w:rFonts w:hint="eastAsia" w:ascii="宋体" w:hAnsi="宋体" w:eastAsia="宋体" w:cs="Times New Roman"/>
          <w:color w:val="auto"/>
          <w:sz w:val="32"/>
          <w:szCs w:val="22"/>
          <w:highlight w:val="none"/>
        </w:rPr>
        <w:t>采购单位：</w:t>
      </w:r>
      <w:r>
        <w:rPr>
          <w:rFonts w:hint="eastAsia" w:ascii="宋体" w:hAnsi="宋体" w:eastAsia="宋体" w:cs="Times New Roman"/>
          <w:b/>
          <w:color w:val="auto"/>
          <w:sz w:val="32"/>
          <w:szCs w:val="22"/>
          <w:highlight w:val="none"/>
          <w:u w:val="single"/>
        </w:rPr>
        <w:t xml:space="preserve">   </w:t>
      </w:r>
      <w:r>
        <w:rPr>
          <w:rFonts w:hint="eastAsia" w:ascii="宋体" w:hAnsi="宋体" w:eastAsia="宋体" w:cs="Times New Roman"/>
          <w:color w:val="auto"/>
          <w:sz w:val="32"/>
          <w:szCs w:val="22"/>
          <w:highlight w:val="none"/>
          <w:u w:val="single"/>
          <w:lang w:eastAsia="zh-CN"/>
        </w:rPr>
        <w:t>沭阳县农业农村局</w:t>
      </w:r>
      <w:r>
        <w:rPr>
          <w:rFonts w:hint="eastAsia" w:ascii="宋体" w:hAnsi="宋体" w:eastAsia="宋体" w:cs="Times New Roman"/>
          <w:b/>
          <w:color w:val="auto"/>
          <w:sz w:val="32"/>
          <w:szCs w:val="22"/>
          <w:highlight w:val="none"/>
          <w:u w:val="single"/>
        </w:rPr>
        <w:t xml:space="preserve">   </w:t>
      </w:r>
    </w:p>
    <w:p w14:paraId="4BDF8137">
      <w:pPr>
        <w:spacing w:line="500" w:lineRule="exact"/>
        <w:ind w:firstLine="640"/>
        <w:rPr>
          <w:rFonts w:hint="default" w:ascii="宋体" w:hAnsi="宋体" w:eastAsia="宋体" w:cs="Times New Roman"/>
          <w:color w:val="auto"/>
          <w:sz w:val="32"/>
          <w:szCs w:val="22"/>
          <w:highlight w:val="none"/>
        </w:rPr>
      </w:pPr>
    </w:p>
    <w:p w14:paraId="3EFD1DE6">
      <w:pPr>
        <w:spacing w:line="500" w:lineRule="exact"/>
        <w:ind w:firstLine="1280"/>
        <w:rPr>
          <w:rFonts w:hint="default" w:ascii="宋体" w:hAnsi="宋体" w:eastAsia="宋体" w:cs="Times New Roman"/>
          <w:color w:val="auto"/>
          <w:sz w:val="32"/>
          <w:szCs w:val="22"/>
          <w:highlight w:val="none"/>
          <w:u w:val="single"/>
        </w:rPr>
      </w:pPr>
      <w:r>
        <w:rPr>
          <w:rFonts w:hint="eastAsia" w:ascii="宋体" w:hAnsi="宋体" w:eastAsia="宋体" w:cs="Times New Roman"/>
          <w:color w:val="auto"/>
          <w:sz w:val="32"/>
          <w:szCs w:val="22"/>
          <w:highlight w:val="none"/>
        </w:rPr>
        <w:t>中标供应商：</w:t>
      </w:r>
      <w:r>
        <w:rPr>
          <w:rFonts w:hint="eastAsia" w:ascii="宋体" w:hAnsi="宋体" w:eastAsia="宋体" w:cs="Times New Roman"/>
          <w:color w:val="auto"/>
          <w:sz w:val="32"/>
          <w:szCs w:val="22"/>
          <w:highlight w:val="none"/>
          <w:u w:val="single"/>
        </w:rPr>
        <w:t xml:space="preserve"> </w:t>
      </w:r>
      <w:r>
        <w:rPr>
          <w:rFonts w:hint="default" w:ascii="宋体" w:hAnsi="宋体" w:eastAsia="宋体" w:cs="Times New Roman"/>
          <w:color w:val="auto"/>
          <w:sz w:val="32"/>
          <w:szCs w:val="22"/>
          <w:highlight w:val="none"/>
          <w:u w:val="single"/>
        </w:rPr>
        <w:t xml:space="preserve">                        </w:t>
      </w:r>
      <w:r>
        <w:rPr>
          <w:rFonts w:hint="eastAsia" w:ascii="宋体" w:hAnsi="宋体" w:eastAsia="宋体" w:cs="Times New Roman"/>
          <w:color w:val="auto"/>
          <w:sz w:val="32"/>
          <w:szCs w:val="22"/>
          <w:highlight w:val="none"/>
          <w:u w:val="single"/>
        </w:rPr>
        <w:t xml:space="preserve">  </w:t>
      </w:r>
    </w:p>
    <w:p w14:paraId="7E9A805C">
      <w:pPr>
        <w:spacing w:line="500" w:lineRule="exact"/>
        <w:ind w:firstLine="640"/>
        <w:rPr>
          <w:rFonts w:hint="default" w:ascii="宋体" w:hAnsi="宋体" w:eastAsia="宋体" w:cs="Times New Roman"/>
          <w:color w:val="auto"/>
          <w:sz w:val="32"/>
          <w:szCs w:val="22"/>
          <w:highlight w:val="none"/>
          <w:u w:val="single"/>
        </w:rPr>
      </w:pPr>
    </w:p>
    <w:p w14:paraId="1E8FFD8D">
      <w:pPr>
        <w:spacing w:line="500" w:lineRule="exact"/>
        <w:ind w:firstLine="640"/>
        <w:jc w:val="center"/>
        <w:rPr>
          <w:rFonts w:hint="default" w:ascii="宋体" w:hAnsi="宋体" w:eastAsia="宋体" w:cs="Times New Roman"/>
          <w:color w:val="auto"/>
          <w:sz w:val="32"/>
          <w:szCs w:val="22"/>
          <w:highlight w:val="none"/>
        </w:rPr>
      </w:pPr>
      <w:r>
        <w:rPr>
          <w:rFonts w:hint="eastAsia" w:ascii="宋体" w:hAnsi="宋体" w:eastAsia="宋体" w:cs="Times New Roman"/>
          <w:color w:val="auto"/>
          <w:sz w:val="32"/>
          <w:szCs w:val="22"/>
          <w:highlight w:val="none"/>
          <w:u w:val="single"/>
        </w:rPr>
        <w:t xml:space="preserve">   年 </w:t>
      </w:r>
      <w:r>
        <w:rPr>
          <w:rFonts w:hint="default" w:ascii="宋体" w:hAnsi="宋体" w:eastAsia="宋体" w:cs="Times New Roman"/>
          <w:color w:val="auto"/>
          <w:sz w:val="32"/>
          <w:szCs w:val="22"/>
          <w:highlight w:val="none"/>
          <w:u w:val="single"/>
        </w:rPr>
        <w:t xml:space="preserve"> </w:t>
      </w:r>
      <w:r>
        <w:rPr>
          <w:rFonts w:hint="eastAsia" w:ascii="宋体" w:hAnsi="宋体" w:eastAsia="宋体" w:cs="Times New Roman"/>
          <w:color w:val="auto"/>
          <w:sz w:val="32"/>
          <w:szCs w:val="22"/>
          <w:highlight w:val="none"/>
          <w:u w:val="single"/>
        </w:rPr>
        <w:t>月   日</w:t>
      </w:r>
    </w:p>
    <w:p w14:paraId="6A9F3D8D">
      <w:pPr>
        <w:spacing w:after="80" w:line="580" w:lineRule="exact"/>
        <w:jc w:val="left"/>
        <w:outlineLvl w:val="4"/>
        <w:rPr>
          <w:rFonts w:hint="default" w:ascii="宋体" w:hAnsi="宋体" w:eastAsia="宋体" w:cs="宋体"/>
          <w:color w:val="auto"/>
          <w:szCs w:val="22"/>
          <w:highlight w:val="none"/>
        </w:rPr>
      </w:pPr>
      <w:r>
        <w:rPr>
          <w:rFonts w:hint="eastAsia" w:ascii="Calibri" w:hAnsi="Calibri" w:eastAsia="宋体" w:cs="Times New Roman"/>
          <w:color w:val="auto"/>
          <w:sz w:val="44"/>
          <w:szCs w:val="22"/>
          <w:highlight w:val="none"/>
        </w:rPr>
        <w:br w:type="page" w:clear="all"/>
      </w:r>
      <w:bookmarkEnd w:id="198"/>
      <w:bookmarkEnd w:id="199"/>
      <w:bookmarkEnd w:id="200"/>
      <w:bookmarkEnd w:id="201"/>
    </w:p>
    <w:p w14:paraId="53D9D366">
      <w:pPr>
        <w:jc w:val="center"/>
        <w:rPr>
          <w:rFonts w:hint="eastAsia" w:ascii="Times New Roman" w:hAnsi="Times New Roman" w:eastAsia="宋体" w:cs="方正仿宋_GBK"/>
          <w:color w:val="auto"/>
          <w:sz w:val="32"/>
          <w:szCs w:val="32"/>
          <w:highlight w:val="none"/>
          <w:u w:val="none"/>
          <w:lang w:eastAsia="zh-CN"/>
        </w:rPr>
      </w:pPr>
      <w:r>
        <w:rPr>
          <w:rFonts w:hint="eastAsia" w:ascii="Times New Roman" w:hAnsi="Times New Roman" w:eastAsia="宋体" w:cs="方正仿宋_GBK"/>
          <w:color w:val="auto"/>
          <w:sz w:val="32"/>
          <w:szCs w:val="32"/>
          <w:highlight w:val="none"/>
          <w:u w:val="none"/>
          <w:lang w:eastAsia="zh-CN"/>
        </w:rPr>
        <w:t>沭阳县2024年非项目化等新增耕地质量等级评定项目</w:t>
      </w:r>
    </w:p>
    <w:p w14:paraId="42E8C901">
      <w:pPr>
        <w:jc w:val="center"/>
        <w:rPr>
          <w:rFonts w:hint="default" w:ascii="Calibri" w:hAnsi="宋体" w:eastAsia="宋体" w:cs="Times New Roman"/>
          <w:color w:val="auto"/>
          <w:sz w:val="32"/>
          <w:szCs w:val="22"/>
          <w:highlight w:val="none"/>
        </w:rPr>
      </w:pPr>
      <w:r>
        <w:rPr>
          <w:rFonts w:hint="eastAsia" w:ascii="Calibri" w:hAnsi="宋体" w:eastAsia="宋体" w:cs="Times New Roman"/>
          <w:color w:val="auto"/>
          <w:sz w:val="32"/>
          <w:szCs w:val="22"/>
          <w:highlight w:val="none"/>
        </w:rPr>
        <w:t>政府采购合同</w:t>
      </w:r>
    </w:p>
    <w:p w14:paraId="1FFE10E8">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4"/>
        <w:rPr>
          <w:rFonts w:hint="eastAsia" w:ascii="宋体" w:hAnsi="宋体" w:eastAsia="宋体" w:cs="仿宋_GB2312"/>
          <w:color w:val="auto"/>
          <w:sz w:val="24"/>
          <w:szCs w:val="24"/>
          <w:highlight w:val="none"/>
          <w:lang w:val="en-US" w:eastAsia="zh-CN" w:bidi="ar-SA"/>
        </w:rPr>
      </w:pPr>
    </w:p>
    <w:p w14:paraId="6AF21E9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采购单位（全称）：</w:t>
      </w:r>
      <w:r>
        <w:rPr>
          <w:rFonts w:hint="eastAsia" w:ascii="宋体" w:hAnsi="宋体" w:eastAsia="宋体" w:cs="仿宋_GB2312"/>
          <w:color w:val="auto"/>
          <w:sz w:val="24"/>
          <w:szCs w:val="24"/>
          <w:highlight w:val="none"/>
          <w:u w:val="single"/>
          <w:lang w:val="en-US" w:eastAsia="zh-CN" w:bidi="ar-SA"/>
        </w:rPr>
        <w:t xml:space="preserve">                </w:t>
      </w:r>
      <w:r>
        <w:rPr>
          <w:rFonts w:hint="default" w:ascii="宋体" w:hAnsi="宋体" w:eastAsia="宋体" w:cs="仿宋_GB2312"/>
          <w:color w:val="auto"/>
          <w:sz w:val="24"/>
          <w:szCs w:val="24"/>
          <w:highlight w:val="none"/>
          <w:u w:val="single"/>
          <w:lang w:val="en-US" w:eastAsia="zh-CN" w:bidi="ar-SA"/>
        </w:rPr>
        <w:t xml:space="preserve">  </w:t>
      </w:r>
      <w:r>
        <w:rPr>
          <w:rFonts w:hint="eastAsia" w:ascii="宋体" w:hAnsi="宋体" w:eastAsia="宋体" w:cs="仿宋_GB2312"/>
          <w:color w:val="auto"/>
          <w:sz w:val="24"/>
          <w:szCs w:val="24"/>
          <w:highlight w:val="none"/>
          <w:u w:val="single"/>
          <w:lang w:val="en-US" w:eastAsia="zh-CN" w:bidi="ar-SA"/>
        </w:rPr>
        <w:t xml:space="preserve">  </w:t>
      </w:r>
      <w:r>
        <w:rPr>
          <w:rFonts w:hint="eastAsia" w:ascii="宋体" w:hAnsi="宋体" w:eastAsia="宋体" w:cs="仿宋_GB2312"/>
          <w:color w:val="auto"/>
          <w:sz w:val="24"/>
          <w:szCs w:val="24"/>
          <w:highlight w:val="none"/>
          <w:lang w:val="en-US" w:eastAsia="zh-CN" w:bidi="ar-SA"/>
        </w:rPr>
        <w:t>（简称甲方）</w:t>
      </w:r>
    </w:p>
    <w:p w14:paraId="4B941D38">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中标供应商（全称）：</w:t>
      </w:r>
      <w:r>
        <w:rPr>
          <w:rFonts w:hint="eastAsia" w:ascii="宋体" w:hAnsi="宋体" w:eastAsia="宋体" w:cs="仿宋_GB2312"/>
          <w:b/>
          <w:bCs/>
          <w:color w:val="auto"/>
          <w:sz w:val="24"/>
          <w:szCs w:val="24"/>
          <w:highlight w:val="none"/>
          <w:u w:val="single"/>
          <w:lang w:val="en-US" w:eastAsia="zh-CN" w:bidi="ar-SA"/>
        </w:rPr>
        <w:t xml:space="preserve"> </w:t>
      </w:r>
      <w:r>
        <w:rPr>
          <w:rFonts w:hint="eastAsia" w:ascii="宋体" w:hAnsi="宋体" w:eastAsia="宋体" w:cs="仿宋_GB2312"/>
          <w:bCs/>
          <w:color w:val="auto"/>
          <w:sz w:val="24"/>
          <w:szCs w:val="24"/>
          <w:highlight w:val="none"/>
          <w:u w:val="single"/>
          <w:lang w:val="en-US" w:eastAsia="zh-CN" w:bidi="ar-SA"/>
        </w:rPr>
        <w:t xml:space="preserve"> </w:t>
      </w:r>
      <w:r>
        <w:rPr>
          <w:rFonts w:hint="default" w:ascii="宋体" w:hAnsi="宋体" w:eastAsia="宋体" w:cs="仿宋_GB2312"/>
          <w:bCs/>
          <w:color w:val="auto"/>
          <w:sz w:val="24"/>
          <w:szCs w:val="24"/>
          <w:highlight w:val="none"/>
          <w:u w:val="single"/>
          <w:lang w:val="en-US" w:eastAsia="zh-CN" w:bidi="ar-SA"/>
        </w:rPr>
        <w:t xml:space="preserve"> </w:t>
      </w:r>
      <w:r>
        <w:rPr>
          <w:rFonts w:hint="eastAsia" w:ascii="宋体" w:hAnsi="宋体" w:eastAsia="宋体" w:cs="仿宋_GB2312"/>
          <w:bCs/>
          <w:color w:val="auto"/>
          <w:sz w:val="24"/>
          <w:szCs w:val="24"/>
          <w:highlight w:val="none"/>
          <w:u w:val="single"/>
          <w:lang w:val="en-US" w:eastAsia="zh-CN" w:bidi="ar-SA"/>
        </w:rPr>
        <w:t xml:space="preserve"> </w:t>
      </w:r>
      <w:r>
        <w:rPr>
          <w:rFonts w:hint="default" w:ascii="宋体" w:hAnsi="宋体" w:eastAsia="宋体" w:cs="仿宋_GB2312"/>
          <w:bCs/>
          <w:color w:val="auto"/>
          <w:sz w:val="24"/>
          <w:szCs w:val="24"/>
          <w:highlight w:val="none"/>
          <w:u w:val="single"/>
          <w:lang w:val="en-US" w:eastAsia="zh-CN" w:bidi="ar-SA"/>
        </w:rPr>
        <w:t xml:space="preserve">           </w:t>
      </w:r>
      <w:r>
        <w:rPr>
          <w:rFonts w:hint="eastAsia" w:ascii="宋体" w:hAnsi="宋体" w:eastAsia="宋体" w:cs="仿宋_GB2312"/>
          <w:b/>
          <w:bCs/>
          <w:color w:val="auto"/>
          <w:sz w:val="24"/>
          <w:szCs w:val="24"/>
          <w:highlight w:val="none"/>
          <w:u w:val="single"/>
          <w:lang w:val="en-US" w:eastAsia="zh-CN" w:bidi="ar-SA"/>
        </w:rPr>
        <w:t xml:space="preserve">   </w:t>
      </w:r>
      <w:r>
        <w:rPr>
          <w:rFonts w:hint="eastAsia" w:ascii="宋体" w:hAnsi="宋体" w:eastAsia="宋体" w:cs="仿宋_GB2312"/>
          <w:color w:val="auto"/>
          <w:sz w:val="24"/>
          <w:szCs w:val="24"/>
          <w:highlight w:val="none"/>
          <w:lang w:val="en-US" w:eastAsia="zh-CN" w:bidi="ar-SA"/>
        </w:rPr>
        <w:t>（简称乙方）</w:t>
      </w:r>
    </w:p>
    <w:p w14:paraId="4B1BDF2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依照《中华人民共和国政府采购法》及其实施条例、其他有关法律、行政法规，遵循平等、自愿、公平和诚实信用的原则，双方就采购编号为</w:t>
      </w:r>
      <w:r>
        <w:rPr>
          <w:rFonts w:hint="eastAsia" w:ascii="宋体" w:hAnsi="宋体" w:eastAsia="宋体" w:cs="仿宋_GB2312"/>
          <w:color w:val="auto"/>
          <w:sz w:val="24"/>
          <w:szCs w:val="24"/>
          <w:highlight w:val="none"/>
          <w:u w:val="single"/>
          <w:lang w:val="en-US" w:eastAsia="zh-CN" w:bidi="ar-SA"/>
        </w:rPr>
        <w:t xml:space="preserve"> </w:t>
      </w:r>
      <w:r>
        <w:rPr>
          <w:rFonts w:hint="default" w:ascii="宋体" w:hAnsi="宋体" w:eastAsia="宋体" w:cs="仿宋_GB2312"/>
          <w:color w:val="auto"/>
          <w:sz w:val="24"/>
          <w:szCs w:val="24"/>
          <w:highlight w:val="none"/>
          <w:u w:val="single"/>
          <w:lang w:val="en-US" w:eastAsia="zh-CN" w:bidi="ar-SA"/>
        </w:rPr>
        <w:t xml:space="preserve">    </w:t>
      </w:r>
      <w:r>
        <w:rPr>
          <w:rFonts w:hint="eastAsia" w:ascii="宋体" w:hAnsi="宋体" w:eastAsia="宋体" w:cs="仿宋_GB2312"/>
          <w:color w:val="auto"/>
          <w:sz w:val="24"/>
          <w:szCs w:val="24"/>
          <w:highlight w:val="none"/>
          <w:u w:val="single"/>
          <w:lang w:val="en-US" w:eastAsia="zh-CN" w:bidi="ar-SA"/>
        </w:rPr>
        <w:t xml:space="preserve"> </w:t>
      </w:r>
      <w:r>
        <w:rPr>
          <w:rFonts w:hint="eastAsia" w:ascii="宋体" w:hAnsi="宋体" w:eastAsia="宋体" w:cs="仿宋_GB2312"/>
          <w:color w:val="auto"/>
          <w:sz w:val="24"/>
          <w:szCs w:val="24"/>
          <w:highlight w:val="none"/>
          <w:lang w:val="en-US" w:eastAsia="zh-CN" w:bidi="ar-SA"/>
        </w:rPr>
        <w:t>的</w:t>
      </w:r>
      <w:r>
        <w:rPr>
          <w:rFonts w:hint="eastAsia" w:ascii="宋体" w:hAnsi="宋体" w:eastAsia="宋体" w:cs="仿宋_GB2312"/>
          <w:color w:val="auto"/>
          <w:sz w:val="24"/>
          <w:szCs w:val="24"/>
          <w:highlight w:val="none"/>
          <w:u w:val="single"/>
          <w:lang w:val="en-US" w:eastAsia="zh-CN" w:bidi="ar-SA"/>
        </w:rPr>
        <w:t xml:space="preserve">  </w:t>
      </w:r>
      <w:r>
        <w:rPr>
          <w:rFonts w:hint="default" w:ascii="宋体" w:hAnsi="宋体" w:eastAsia="宋体" w:cs="仿宋_GB2312"/>
          <w:color w:val="auto"/>
          <w:sz w:val="24"/>
          <w:szCs w:val="24"/>
          <w:highlight w:val="none"/>
          <w:u w:val="single"/>
          <w:lang w:val="en-US" w:eastAsia="zh-CN" w:bidi="ar-SA"/>
        </w:rPr>
        <w:t xml:space="preserve">     </w:t>
      </w:r>
      <w:r>
        <w:rPr>
          <w:rFonts w:hint="eastAsia" w:ascii="宋体" w:hAnsi="宋体" w:eastAsia="宋体" w:cs="仿宋_GB2312"/>
          <w:color w:val="auto"/>
          <w:sz w:val="24"/>
          <w:szCs w:val="24"/>
          <w:highlight w:val="none"/>
          <w:u w:val="single"/>
          <w:lang w:val="en-US" w:eastAsia="zh-CN" w:bidi="ar-SA"/>
        </w:rPr>
        <w:t xml:space="preserve"> </w:t>
      </w:r>
      <w:r>
        <w:rPr>
          <w:rFonts w:hint="eastAsia" w:ascii="宋体" w:hAnsi="宋体" w:eastAsia="宋体" w:cs="仿宋_GB2312"/>
          <w:color w:val="auto"/>
          <w:sz w:val="24"/>
          <w:szCs w:val="24"/>
          <w:highlight w:val="none"/>
          <w:lang w:val="en-US" w:eastAsia="zh-CN" w:bidi="ar-SA"/>
        </w:rPr>
        <w:t>相关事项协商一致，达成如下合同条款：</w:t>
      </w:r>
    </w:p>
    <w:p w14:paraId="65E3D2C4">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2" w:firstLineChars="200"/>
        <w:jc w:val="both"/>
        <w:textAlignment w:val="auto"/>
        <w:outlineLvl w:val="4"/>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合同标的</w:t>
      </w:r>
    </w:p>
    <w:p w14:paraId="3A3E612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1、</w:t>
      </w:r>
      <w:r>
        <w:rPr>
          <w:rFonts w:hint="default" w:ascii="Times New Roman" w:hAnsi="Times New Roman" w:eastAsia="宋体" w:cs="Times New Roman"/>
          <w:color w:val="auto"/>
          <w:sz w:val="24"/>
          <w:szCs w:val="24"/>
          <w:highlight w:val="none"/>
          <w:lang w:val="en-US" w:eastAsia="zh-CN" w:bidi="ar-SA"/>
        </w:rPr>
        <w:t>技术服务的目标：</w:t>
      </w:r>
      <w:r>
        <w:rPr>
          <w:rFonts w:hint="eastAsia" w:ascii="宋体" w:hAnsi="宋体" w:eastAsia="宋体" w:cs="仿宋_GB2312"/>
          <w:color w:val="auto"/>
          <w:sz w:val="24"/>
          <w:szCs w:val="24"/>
          <w:highlight w:val="none"/>
          <w:u w:val="single"/>
          <w:lang w:val="en-US" w:eastAsia="zh-CN" w:bidi="ar-SA"/>
        </w:rPr>
        <w:t>完成沭阳县2024年非项目化等新增耕地质量等级评定项目。</w:t>
      </w:r>
    </w:p>
    <w:p w14:paraId="42E344B1">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2、服务内容：</w:t>
      </w:r>
    </w:p>
    <w:p w14:paraId="07969076">
      <w:pPr>
        <w:keepNext w:val="0"/>
        <w:keepLines w:val="0"/>
        <w:pageBreakBefore w:val="0"/>
        <w:widowControl w:val="0"/>
        <w:kinsoku/>
        <w:wordWrap/>
        <w:overflowPunct/>
        <w:topLinePunct w:val="0"/>
        <w:autoSpaceDE/>
        <w:autoSpaceDN/>
        <w:bidi w:val="0"/>
        <w:adjustRightInd/>
        <w:snapToGrid/>
        <w:spacing w:line="580" w:lineRule="exact"/>
        <w:ind w:left="0" w:firstLine="482" w:firstLineChars="200"/>
        <w:textAlignment w:val="auto"/>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eastAsia="zh-CN"/>
        </w:rPr>
        <w:t>（</w:t>
      </w:r>
      <w:r>
        <w:rPr>
          <w:rFonts w:hint="eastAsia" w:ascii="Times New Roman" w:hAnsi="Times New Roman" w:eastAsia="宋体" w:cs="Times New Roman"/>
          <w:b/>
          <w:bCs/>
          <w:color w:val="auto"/>
          <w:sz w:val="24"/>
          <w:szCs w:val="24"/>
          <w:highlight w:val="none"/>
          <w:lang w:val="en-US" w:eastAsia="zh-CN"/>
        </w:rPr>
        <w:t>一</w:t>
      </w:r>
      <w:r>
        <w:rPr>
          <w:rFonts w:hint="eastAsia" w:ascii="Times New Roman" w:hAnsi="Times New Roman" w:eastAsia="宋体" w:cs="Times New Roman"/>
          <w:b/>
          <w:bCs/>
          <w:color w:val="auto"/>
          <w:sz w:val="24"/>
          <w:szCs w:val="24"/>
          <w:highlight w:val="none"/>
          <w:lang w:eastAsia="zh-CN"/>
        </w:rPr>
        <w:t>）土壤污染状况调查：</w:t>
      </w:r>
    </w:p>
    <w:p w14:paraId="388BB6F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eastAsia"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按照《关于印发《拟开垦为耕地的复垦土地及未利用地土壤污染状况调查技术指南（试行）》和《农用地重点地块监测技术指南（试行）》的通知》（苏农建【2023】1号）中，拟开垦为耕地的复垦土地及未利用地土壤污染状况调查技术指南（试行）工作规范，结合本项目地块情况，按需要开展第一阶段（污染识别）和第二阶段（初步采样分析），编制土壤污染状况调查报告。拟调查面积为10000亩(暂定，最终以实际调查为准)。具体要求如下：</w:t>
      </w:r>
    </w:p>
    <w:p w14:paraId="31D4A22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eastAsia"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（1）现场初步踏勘：由中标单位组织技术人员对每个地块逐一现场踏勘、拍照、快速检测等，中标单位提供车辆；</w:t>
      </w:r>
    </w:p>
    <w:p w14:paraId="0211E93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eastAsia"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（2）二次踏勘：开展二次踏勘，进行资料收集、人员访谈和采样送检。</w:t>
      </w:r>
    </w:p>
    <w:p w14:paraId="1B859C7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eastAsia"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（3）土样采集：依照省《拟开垦耕地土壤污染状况调查技术指南》，编制采样方案进行采样布置，另需根据采购方要求适当增加采样点布置检测。</w:t>
      </w:r>
    </w:p>
    <w:p w14:paraId="5A9232B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eastAsia"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（4）土样样品检测：常规重金属指标8个：镉、汞、砷、铅、铬、铜、锌、镍；如有地块特征污染物，需加测相应指标。</w:t>
      </w:r>
    </w:p>
    <w:p w14:paraId="4771C53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eastAsia"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5）报告编制：详细、真实并全面的介绍每个地块污染调查过程，并对调查结果进行科学评价，明确给出地块是否满足开垦要求的结论，分类编制土壤污染状况调查报告，并通过专家评审（报告包括调查工作简介、调查实施情况、布点采样方法、数据评价、结论和建议以及检测报告等）；</w:t>
      </w:r>
    </w:p>
    <w:p w14:paraId="60B4FEB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eastAsia"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（6）项目开展期间中标企业需派驻包含1名项目负责人在内的不少于3人以上项目小组在沭阳开展工作。</w:t>
      </w:r>
    </w:p>
    <w:p w14:paraId="079D9143">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outlineLvl w:val="4"/>
        <w:rPr>
          <w:rFonts w:hint="eastAsia" w:ascii="宋体" w:hAnsi="宋体" w:eastAsia="宋体" w:cs="仿宋_GB2312"/>
          <w:b/>
          <w:bCs/>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（二）补充耕地质量评定：</w:t>
      </w:r>
    </w:p>
    <w:p w14:paraId="533800D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（1）内业化工作：整理打印全套申请评定资料、根据省级相关要求开展系统数据填报录入工作、形成一套完整的验收资料等；</w:t>
      </w:r>
    </w:p>
    <w:p w14:paraId="3A15FB5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（2）现场初步踏勘：每个踏勘小组由市级踏勘专家、建设方、现场调查人员、司机组成，中标单位提供车辆；</w:t>
      </w:r>
    </w:p>
    <w:p w14:paraId="5374646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（3）土样采集：依照省补充耕地质量评定技术规程，每宗地、每种地类或者50亩至少取1个样，地形变化较大的取2个样。根据项目情况平均每个项目取样不少于2个。</w:t>
      </w:r>
    </w:p>
    <w:p w14:paraId="3B6B45E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（4）土样样品检测：常规指标6个：pH值、有机质、全氮、有效磷、速效钾、缓效钾；重金属指标8个：镉、汞、砷、铅、铬、铜、锌、镍。</w:t>
      </w:r>
    </w:p>
    <w:p w14:paraId="668FA9D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（5）评定会议：根据相关技术规范组织不少于5名省市级专家开展最终评定，形成最终评定报告。</w:t>
      </w:r>
    </w:p>
    <w:p w14:paraId="4306DF2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6）中标单位在市级专家踏勘前组织工作人员进行前期踏勘，要求不合格的地块进行整改，降低市级专家踏勘不合格率。如市级专家初次踏勘不合格，中标单位需承担第2次市级踏勘费用；初次土壤检测不合格，中标单位需承担第2次检测费用。</w:t>
      </w:r>
    </w:p>
    <w:p w14:paraId="31838C5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（7）项目开展期间中标企业需派驻包含1名项目负责人在内的不少于3人以上项目小组在沭阳办公。</w:t>
      </w:r>
    </w:p>
    <w:p w14:paraId="3C77B05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eastAsia"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如有最新省级补充耕地质量评定技术要求，最终服务内容可依据最新要求进行调整。服务内容等要求详见招投标文件。</w:t>
      </w:r>
    </w:p>
    <w:p w14:paraId="1A299816">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2" w:firstLineChars="200"/>
        <w:jc w:val="both"/>
        <w:textAlignment w:val="auto"/>
        <w:outlineLvl w:val="4"/>
        <w:rPr>
          <w:rFonts w:hint="default" w:ascii="宋体" w:hAnsi="宋体" w:eastAsia="宋体" w:cs="仿宋_GB2312"/>
          <w:b/>
          <w:bCs/>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合同金额</w:t>
      </w:r>
    </w:p>
    <w:p w14:paraId="08A2E9EE">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b w:val="0"/>
          <w:bCs w:val="0"/>
          <w:color w:val="auto"/>
          <w:kern w:val="0"/>
          <w:sz w:val="24"/>
          <w:szCs w:val="24"/>
          <w:highlight w:val="none"/>
          <w:u w:val="single"/>
        </w:rPr>
      </w:pPr>
      <w:r>
        <w:rPr>
          <w:rFonts w:hint="eastAsia"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本合同</w:t>
      </w:r>
      <w:r>
        <w:rPr>
          <w:rFonts w:hint="eastAsia" w:ascii="Times New Roman" w:hAnsi="Times New Roman" w:eastAsia="宋体" w:cs="Times New Roman"/>
          <w:color w:val="auto"/>
          <w:kern w:val="0"/>
          <w:sz w:val="24"/>
          <w:szCs w:val="24"/>
          <w:highlight w:val="none"/>
        </w:rPr>
        <w:t>单价为</w:t>
      </w:r>
      <w:r>
        <w:rPr>
          <w:rFonts w:hint="default" w:ascii="Times New Roman" w:hAnsi="Times New Roman" w:eastAsia="宋体" w:cs="Times New Roman"/>
          <w:color w:val="auto"/>
          <w:kern w:val="0"/>
          <w:sz w:val="24"/>
          <w:szCs w:val="24"/>
          <w:highlight w:val="none"/>
        </w:rPr>
        <w:t>（大写）：</w:t>
      </w:r>
      <w:r>
        <w:rPr>
          <w:rFonts w:hint="eastAsia" w:ascii="Times New Roman" w:hAnsi="Times New Roman" w:eastAsia="宋体" w:cs="Times New Roman"/>
          <w:b w:val="0"/>
          <w:bCs w:val="0"/>
          <w:color w:val="auto"/>
          <w:kern w:val="0"/>
          <w:sz w:val="24"/>
          <w:szCs w:val="24"/>
          <w:highlight w:val="none"/>
          <w:u w:val="single"/>
        </w:rPr>
        <w:t xml:space="preserve">    </w:t>
      </w:r>
      <w:r>
        <w:rPr>
          <w:rFonts w:hint="eastAsia" w:ascii="Times New Roman" w:hAnsi="Times New Roman" w:eastAsia="宋体" w:cs="Times New Roman"/>
          <w:b w:val="0"/>
          <w:bCs w:val="0"/>
          <w:color w:val="auto"/>
          <w:kern w:val="0"/>
          <w:sz w:val="24"/>
          <w:szCs w:val="24"/>
          <w:highlight w:val="none"/>
          <w:u w:val="single"/>
          <w:lang w:val="en-US" w:eastAsia="zh-CN"/>
        </w:rPr>
        <w:t xml:space="preserve">     </w:t>
      </w:r>
      <w:r>
        <w:rPr>
          <w:rFonts w:hint="eastAsia" w:ascii="Times New Roman" w:hAnsi="Times New Roman" w:eastAsia="宋体" w:cs="Times New Roman"/>
          <w:b w:val="0"/>
          <w:bCs w:val="0"/>
          <w:color w:val="auto"/>
          <w:kern w:val="0"/>
          <w:sz w:val="24"/>
          <w:szCs w:val="24"/>
          <w:highlight w:val="none"/>
          <w:u w:val="single"/>
        </w:rPr>
        <w:t xml:space="preserve"> 元/亩（¥：</w:t>
      </w:r>
      <w:r>
        <w:rPr>
          <w:rFonts w:hint="eastAsia" w:ascii="Times New Roman" w:hAnsi="Times New Roman" w:eastAsia="宋体" w:cs="Times New Roman"/>
          <w:b w:val="0"/>
          <w:bCs w:val="0"/>
          <w:color w:val="auto"/>
          <w:sz w:val="24"/>
          <w:szCs w:val="24"/>
          <w:highlight w:val="none"/>
          <w:u w:val="single"/>
          <w:lang w:eastAsia="zh-CN"/>
        </w:rPr>
        <w:t>土壤污染状况调查</w:t>
      </w:r>
      <w:r>
        <w:rPr>
          <w:rFonts w:hint="eastAsia" w:ascii="Times New Roman" w:hAnsi="Times New Roman" w:eastAsia="宋体" w:cs="Times New Roman"/>
          <w:b w:val="0"/>
          <w:bCs w:val="0"/>
          <w:color w:val="auto"/>
          <w:kern w:val="0"/>
          <w:sz w:val="24"/>
          <w:szCs w:val="24"/>
          <w:highlight w:val="none"/>
          <w:u w:val="single"/>
        </w:rPr>
        <w:t xml:space="preserve"> </w:t>
      </w:r>
      <w:r>
        <w:rPr>
          <w:rFonts w:hint="eastAsia" w:ascii="Times New Roman" w:hAnsi="Times New Roman" w:eastAsia="宋体" w:cs="Times New Roman"/>
          <w:b w:val="0"/>
          <w:bCs w:val="0"/>
          <w:color w:val="auto"/>
          <w:kern w:val="0"/>
          <w:sz w:val="24"/>
          <w:szCs w:val="24"/>
          <w:highlight w:val="none"/>
          <w:u w:val="single"/>
          <w:lang w:val="en-US" w:eastAsia="zh-CN"/>
        </w:rPr>
        <w:t xml:space="preserve">   </w:t>
      </w:r>
      <w:r>
        <w:rPr>
          <w:rFonts w:hint="eastAsia" w:ascii="Times New Roman" w:hAnsi="Times New Roman" w:eastAsia="宋体" w:cs="Times New Roman"/>
          <w:b w:val="0"/>
          <w:bCs w:val="0"/>
          <w:color w:val="auto"/>
          <w:kern w:val="0"/>
          <w:sz w:val="24"/>
          <w:szCs w:val="24"/>
          <w:highlight w:val="none"/>
          <w:u w:val="single"/>
        </w:rPr>
        <w:t xml:space="preserve"> 元/亩</w:t>
      </w:r>
      <w:r>
        <w:rPr>
          <w:rFonts w:hint="eastAsia" w:ascii="Times New Roman" w:hAnsi="Times New Roman" w:eastAsia="宋体" w:cs="Times New Roman"/>
          <w:b w:val="0"/>
          <w:bCs w:val="0"/>
          <w:color w:val="auto"/>
          <w:kern w:val="0"/>
          <w:sz w:val="24"/>
          <w:szCs w:val="24"/>
          <w:highlight w:val="none"/>
          <w:u w:val="single"/>
          <w:lang w:eastAsia="zh-CN"/>
        </w:rPr>
        <w:t>，</w:t>
      </w:r>
      <w:r>
        <w:rPr>
          <w:rFonts w:hint="eastAsia" w:ascii="Times New Roman" w:hAnsi="Times New Roman" w:eastAsia="宋体" w:cs="Times New Roman"/>
          <w:b w:val="0"/>
          <w:bCs w:val="0"/>
          <w:color w:val="auto"/>
          <w:sz w:val="24"/>
          <w:szCs w:val="24"/>
          <w:highlight w:val="none"/>
          <w:u w:val="single"/>
          <w:lang w:eastAsia="zh-CN"/>
        </w:rPr>
        <w:t>补充耕地质量评定</w:t>
      </w:r>
      <w:r>
        <w:rPr>
          <w:rFonts w:hint="eastAsia" w:ascii="Times New Roman" w:hAnsi="Times New Roman" w:eastAsia="宋体" w:cs="Times New Roman"/>
          <w:b w:val="0"/>
          <w:bCs w:val="0"/>
          <w:color w:val="auto"/>
          <w:sz w:val="24"/>
          <w:szCs w:val="24"/>
          <w:highlight w:val="none"/>
          <w:u w:val="single"/>
          <w:lang w:val="en-US" w:eastAsia="zh-CN"/>
        </w:rPr>
        <w:t xml:space="preserve">       </w:t>
      </w:r>
      <w:r>
        <w:rPr>
          <w:rFonts w:hint="eastAsia" w:ascii="Times New Roman" w:hAnsi="Times New Roman" w:eastAsia="宋体" w:cs="Times New Roman"/>
          <w:b w:val="0"/>
          <w:bCs w:val="0"/>
          <w:color w:val="auto"/>
          <w:kern w:val="0"/>
          <w:sz w:val="24"/>
          <w:szCs w:val="24"/>
          <w:highlight w:val="none"/>
          <w:u w:val="single"/>
        </w:rPr>
        <w:t>元/亩</w:t>
      </w:r>
      <w:r>
        <w:rPr>
          <w:rFonts w:hint="eastAsia" w:ascii="Times New Roman" w:hAnsi="Times New Roman" w:eastAsia="宋体" w:cs="Times New Roman"/>
          <w:b w:val="0"/>
          <w:bCs w:val="0"/>
          <w:color w:val="auto"/>
          <w:sz w:val="24"/>
          <w:szCs w:val="24"/>
          <w:highlight w:val="none"/>
          <w:u w:val="single"/>
          <w:lang w:val="en-US" w:eastAsia="zh-CN"/>
        </w:rPr>
        <w:t xml:space="preserve"> </w:t>
      </w:r>
      <w:r>
        <w:rPr>
          <w:rFonts w:hint="eastAsia" w:ascii="Times New Roman" w:hAnsi="Times New Roman" w:eastAsia="宋体" w:cs="Times New Roman"/>
          <w:b w:val="0"/>
          <w:bCs w:val="0"/>
          <w:color w:val="auto"/>
          <w:kern w:val="0"/>
          <w:sz w:val="24"/>
          <w:szCs w:val="24"/>
          <w:highlight w:val="none"/>
          <w:u w:val="single"/>
        </w:rPr>
        <w:t>）</w:t>
      </w:r>
    </w:p>
    <w:p w14:paraId="1D96C72D">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本合同</w:t>
      </w:r>
      <w:r>
        <w:rPr>
          <w:rFonts w:hint="eastAsia" w:ascii="Times New Roman" w:hAnsi="Times New Roman" w:eastAsia="宋体" w:cs="Times New Roman"/>
          <w:color w:val="auto"/>
          <w:kern w:val="0"/>
          <w:sz w:val="24"/>
          <w:szCs w:val="24"/>
          <w:highlight w:val="none"/>
        </w:rPr>
        <w:t>单价</w:t>
      </w:r>
      <w:r>
        <w:rPr>
          <w:rFonts w:hint="default" w:ascii="Times New Roman" w:hAnsi="Times New Roman" w:eastAsia="宋体" w:cs="Times New Roman"/>
          <w:color w:val="auto"/>
          <w:kern w:val="0"/>
          <w:sz w:val="24"/>
          <w:szCs w:val="24"/>
          <w:highlight w:val="none"/>
        </w:rPr>
        <w:t>金额包括乙方提供的服务及其他有关的为完成本项目发生的所有费用，招标文件中另有规定的除外。</w:t>
      </w:r>
    </w:p>
    <w:p w14:paraId="2A4FF3FA">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在招标文件未列明，而乙方认为履行本合同必需的费用也包含在合同金额中。</w:t>
      </w:r>
    </w:p>
    <w:p w14:paraId="0AC576DC">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本合同金额还包含乙方提供的伴随服务/售后服务费用。</w:t>
      </w:r>
    </w:p>
    <w:p w14:paraId="19F7D3AB">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rPr>
        <w:t>5、</w:t>
      </w:r>
      <w:r>
        <w:rPr>
          <w:rFonts w:hint="default" w:ascii="Times New Roman" w:hAnsi="Times New Roman" w:eastAsia="宋体" w:cs="Times New Roman"/>
          <w:color w:val="auto"/>
          <w:kern w:val="0"/>
          <w:sz w:val="24"/>
          <w:szCs w:val="24"/>
          <w:highlight w:val="none"/>
        </w:rPr>
        <w:t xml:space="preserve"> </w:t>
      </w:r>
      <w:r>
        <w:rPr>
          <w:rFonts w:hint="eastAsia" w:ascii="Times New Roman" w:hAnsi="Times New Roman" w:eastAsia="宋体" w:cs="Times New Roman"/>
          <w:color w:val="auto"/>
          <w:kern w:val="0"/>
          <w:sz w:val="24"/>
          <w:szCs w:val="24"/>
          <w:highlight w:val="none"/>
        </w:rPr>
        <w:t>本项目为固定单价合同，最终结算金额=中标价*实际调查</w:t>
      </w:r>
      <w:r>
        <w:rPr>
          <w:rFonts w:hint="eastAsia" w:ascii="Times New Roman" w:hAnsi="Times New Roman" w:eastAsia="宋体" w:cs="Times New Roman"/>
          <w:color w:val="auto"/>
          <w:kern w:val="0"/>
          <w:sz w:val="24"/>
          <w:szCs w:val="24"/>
          <w:highlight w:val="none"/>
          <w:lang w:eastAsia="zh-CN"/>
        </w:rPr>
        <w:t>（评定）</w:t>
      </w:r>
      <w:r>
        <w:rPr>
          <w:rFonts w:hint="eastAsia" w:ascii="Times New Roman" w:hAnsi="Times New Roman" w:eastAsia="宋体" w:cs="Times New Roman"/>
          <w:color w:val="auto"/>
          <w:kern w:val="0"/>
          <w:sz w:val="24"/>
          <w:szCs w:val="24"/>
          <w:highlight w:val="none"/>
        </w:rPr>
        <w:t>面积。本项目预算金额为</w:t>
      </w:r>
      <w:r>
        <w:rPr>
          <w:rFonts w:hint="eastAsia" w:ascii="Times New Roman" w:hAnsi="Times New Roman" w:eastAsia="宋体" w:cs="Times New Roman"/>
          <w:color w:val="auto"/>
          <w:kern w:val="0"/>
          <w:sz w:val="24"/>
          <w:szCs w:val="24"/>
          <w:highlight w:val="none"/>
          <w:lang w:val="en-US" w:eastAsia="zh-CN"/>
        </w:rPr>
        <w:t>706</w:t>
      </w:r>
      <w:r>
        <w:rPr>
          <w:rFonts w:hint="eastAsia" w:ascii="Times New Roman" w:hAnsi="Times New Roman" w:eastAsia="宋体" w:cs="Times New Roman"/>
          <w:color w:val="auto"/>
          <w:kern w:val="0"/>
          <w:sz w:val="24"/>
          <w:szCs w:val="24"/>
          <w:highlight w:val="none"/>
        </w:rPr>
        <w:t>万元，最终结算价不得超过预算金额。实际调查面积以采购人最终确定认可为准</w:t>
      </w:r>
      <w:r>
        <w:rPr>
          <w:rFonts w:hint="default" w:ascii="Times New Roman" w:hAnsi="Times New Roman" w:eastAsia="宋体" w:cs="Times New Roman"/>
          <w:color w:val="auto"/>
          <w:kern w:val="0"/>
          <w:sz w:val="24"/>
          <w:szCs w:val="24"/>
          <w:highlight w:val="none"/>
        </w:rPr>
        <w:t>。</w:t>
      </w:r>
    </w:p>
    <w:p w14:paraId="4E269B40">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outlineLvl w:val="4"/>
        <w:rPr>
          <w:rFonts w:hint="default" w:ascii="宋体" w:hAnsi="宋体" w:eastAsia="宋体" w:cs="仿宋_GB2312"/>
          <w:b/>
          <w:bCs/>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三、服务时间及地点</w:t>
      </w:r>
    </w:p>
    <w:p w14:paraId="551DAA3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Times New Roman" w:hAnsi="Times New Roman" w:eastAsia="宋体" w:cs="Times New Roman"/>
          <w:bCs/>
          <w:color w:val="auto"/>
          <w:sz w:val="24"/>
          <w:szCs w:val="24"/>
          <w:highlight w:val="none"/>
          <w:lang w:val="en-US" w:eastAsia="zh-CN" w:bidi="ar-SA"/>
        </w:rPr>
      </w:pPr>
      <w:r>
        <w:rPr>
          <w:rFonts w:hint="eastAsia" w:ascii="宋体" w:hAnsi="宋体" w:eastAsia="宋体" w:cs="仿宋_GB2312"/>
          <w:bCs/>
          <w:color w:val="auto"/>
          <w:sz w:val="24"/>
          <w:szCs w:val="24"/>
          <w:highlight w:val="none"/>
          <w:lang w:val="en-US" w:eastAsia="zh-CN" w:bidi="ar-SA"/>
        </w:rPr>
        <w:t>1、服务时间</w:t>
      </w:r>
      <w:r>
        <w:rPr>
          <w:rFonts w:hint="default"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bCs/>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自合同签订之日起至验收通过后，并满足采购人进度要求。</w:t>
      </w:r>
    </w:p>
    <w:p w14:paraId="5BC1A5A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2、服务地点：</w:t>
      </w:r>
      <w:r>
        <w:rPr>
          <w:rFonts w:hint="eastAsia" w:ascii="Times New Roman" w:hAnsi="Times New Roman" w:eastAsia="宋体" w:cs="Times New Roman"/>
          <w:bCs/>
          <w:color w:val="auto"/>
          <w:sz w:val="24"/>
          <w:szCs w:val="24"/>
          <w:highlight w:val="none"/>
          <w:u w:val="single"/>
          <w:lang w:val="en-US" w:eastAsia="zh-CN" w:bidi="ar-SA"/>
        </w:rPr>
        <w:t>沭阳县境内，采购人指定地点</w:t>
      </w:r>
      <w:r>
        <w:rPr>
          <w:rFonts w:hint="eastAsia" w:ascii="Times New Roman" w:hAnsi="Times New Roman" w:eastAsia="宋体" w:cs="Times New Roman"/>
          <w:bCs/>
          <w:color w:val="auto"/>
          <w:sz w:val="24"/>
          <w:szCs w:val="24"/>
          <w:highlight w:val="none"/>
          <w:lang w:val="en-US" w:eastAsia="zh-CN" w:bidi="ar-SA"/>
        </w:rPr>
        <w:t>。</w:t>
      </w:r>
    </w:p>
    <w:p w14:paraId="2ADA9D9E">
      <w:pPr>
        <w:keepNext w:val="0"/>
        <w:keepLines w:val="0"/>
        <w:pageBreakBefore w:val="0"/>
        <w:widowControl w:val="0"/>
        <w:kinsoku/>
        <w:wordWrap/>
        <w:overflowPunct/>
        <w:topLinePunct w:val="0"/>
        <w:autoSpaceDE/>
        <w:autoSpaceDN/>
        <w:bidi w:val="0"/>
        <w:adjustRightInd/>
        <w:snapToGrid/>
        <w:spacing w:line="58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eastAsia" w:ascii="宋体" w:hAnsi="宋体" w:eastAsia="宋体" w:cs="仿宋_GB2312"/>
          <w:b/>
          <w:bCs/>
          <w:color w:val="auto"/>
          <w:sz w:val="24"/>
          <w:szCs w:val="24"/>
          <w:highlight w:val="none"/>
          <w:lang w:val="en-US" w:eastAsia="zh-CN" w:bidi="ar-SA"/>
        </w:rPr>
        <w:t>四</w:t>
      </w:r>
      <w:r>
        <w:rPr>
          <w:rFonts w:hint="default" w:ascii="宋体" w:hAnsi="宋体" w:eastAsia="宋体" w:cs="仿宋_GB2312"/>
          <w:b/>
          <w:bCs/>
          <w:color w:val="auto"/>
          <w:sz w:val="24"/>
          <w:szCs w:val="24"/>
          <w:highlight w:val="none"/>
          <w:lang w:val="en-US" w:eastAsia="zh-CN" w:bidi="ar-SA"/>
        </w:rPr>
        <w:t>、</w:t>
      </w:r>
      <w:r>
        <w:rPr>
          <w:rFonts w:hint="default" w:ascii="Times New Roman" w:hAnsi="Times New Roman" w:eastAsia="宋体" w:cs="Times New Roman"/>
          <w:b/>
          <w:bCs/>
          <w:color w:val="auto"/>
          <w:kern w:val="0"/>
          <w:sz w:val="24"/>
          <w:szCs w:val="24"/>
          <w:highlight w:val="none"/>
        </w:rPr>
        <w:t>质量保证及售后服务</w:t>
      </w:r>
    </w:p>
    <w:p w14:paraId="6C2E4512">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 xml:space="preserve"> 乙方应按采购文件规定及响应文件承诺的技术性能、技术要求、质量标准向甲方提供服务；若无特殊说明，则按国家有关部门最新颁布的标准及规范为准。</w:t>
      </w:r>
    </w:p>
    <w:p w14:paraId="48705414">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乙方应保证其提供的服务是全面和规范的，并完全符合招投标文件。如因乙方提供的服务有瑕疵造成甲方损失的，所需费用由乙方承担。</w:t>
      </w:r>
    </w:p>
    <w:p w14:paraId="1B798E1B">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如在使用过程中发生质量问题，乙方在接到甲方通知后在</w:t>
      </w:r>
      <w:r>
        <w:rPr>
          <w:rFonts w:hint="default" w:ascii="Times New Roman" w:hAnsi="Times New Roman" w:eastAsia="宋体" w:cs="Times New Roman"/>
          <w:color w:val="auto"/>
          <w:kern w:val="0"/>
          <w:sz w:val="24"/>
          <w:szCs w:val="24"/>
          <w:highlight w:val="none"/>
          <w:u w:val="single"/>
        </w:rPr>
        <w:t xml:space="preserve"> 2</w:t>
      </w:r>
      <w:r>
        <w:rPr>
          <w:rFonts w:hint="default" w:ascii="Times New Roman" w:hAnsi="Times New Roman" w:eastAsia="宋体" w:cs="Times New Roman"/>
          <w:color w:val="auto"/>
          <w:kern w:val="0"/>
          <w:sz w:val="24"/>
          <w:szCs w:val="24"/>
          <w:highlight w:val="none"/>
        </w:rPr>
        <w:t>小时内到达甲方现场。</w:t>
      </w:r>
    </w:p>
    <w:p w14:paraId="4E9EF69A">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免费维保期内，乙方应对所提供服务出现的质量及安全问题负责处理解决并承担一切费用。</w:t>
      </w:r>
    </w:p>
    <w:p w14:paraId="09E45D8B">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2" w:firstLineChars="200"/>
        <w:jc w:val="both"/>
        <w:textAlignment w:val="auto"/>
        <w:rPr>
          <w:rFonts w:hint="default" w:ascii="Times New Roman" w:hAnsi="Times New Roman" w:eastAsia="宋体" w:cs="Times New Roman"/>
          <w:b/>
          <w:color w:val="auto"/>
          <w:sz w:val="24"/>
          <w:szCs w:val="24"/>
          <w:highlight w:val="none"/>
          <w:lang w:val="en-US" w:eastAsia="zh-CN" w:bidi="ar-SA"/>
        </w:rPr>
      </w:pPr>
    </w:p>
    <w:p w14:paraId="3A288D73">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2" w:firstLineChars="200"/>
        <w:jc w:val="both"/>
        <w:textAlignment w:val="auto"/>
        <w:rPr>
          <w:rFonts w:hint="default"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五、服务标准及要求：</w:t>
      </w:r>
    </w:p>
    <w:p w14:paraId="37C0D3B1">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0" w:firstLineChars="200"/>
        <w:jc w:val="both"/>
        <w:textAlignment w:val="auto"/>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乙方提供的服务必须全部达到招标文件各项要求，国家或行业有规定的，还要符合相应规定。服务期满前，乙方根据甲方要求提供完整的文档资料，并配合甲方做好与本项目相关任务的衔接工作</w:t>
      </w:r>
      <w:r>
        <w:rPr>
          <w:rFonts w:hint="default" w:ascii="Times New Roman" w:hAnsi="Times New Roman" w:eastAsia="宋体" w:cs="Times New Roman"/>
          <w:bCs/>
          <w:color w:val="auto"/>
          <w:sz w:val="24"/>
          <w:szCs w:val="24"/>
          <w:highlight w:val="none"/>
          <w:lang w:val="en-US" w:eastAsia="zh-CN" w:bidi="ar-SA"/>
        </w:rPr>
        <w:t>。</w:t>
      </w:r>
    </w:p>
    <w:p w14:paraId="3F5809D7">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2" w:firstLineChars="200"/>
        <w:jc w:val="both"/>
        <w:textAlignment w:val="auto"/>
        <w:rPr>
          <w:rFonts w:hint="default" w:ascii="Times New Roman" w:hAnsi="Times New Roman" w:eastAsia="宋体" w:cs="Times New Roman"/>
          <w:b/>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六、交付和</w:t>
      </w:r>
      <w:r>
        <w:rPr>
          <w:rFonts w:hint="eastAsia" w:ascii="Times New Roman" w:hAnsi="Times New Roman" w:eastAsia="宋体" w:cs="Times New Roman"/>
          <w:b/>
          <w:color w:val="auto"/>
          <w:sz w:val="24"/>
          <w:szCs w:val="24"/>
          <w:highlight w:val="none"/>
          <w:lang w:val="en-US" w:eastAsia="zh-CN" w:bidi="ar-SA"/>
        </w:rPr>
        <w:t>验收</w:t>
      </w:r>
      <w:r>
        <w:rPr>
          <w:rFonts w:hint="default" w:ascii="Times New Roman" w:hAnsi="Times New Roman" w:eastAsia="宋体" w:cs="Times New Roman"/>
          <w:b/>
          <w:color w:val="auto"/>
          <w:sz w:val="24"/>
          <w:szCs w:val="24"/>
          <w:highlight w:val="none"/>
          <w:lang w:val="en-US" w:eastAsia="zh-CN" w:bidi="ar-SA"/>
        </w:rPr>
        <w:t>：</w:t>
      </w:r>
    </w:p>
    <w:p w14:paraId="42E63D11">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乙方应当在合同</w:t>
      </w:r>
      <w:r>
        <w:rPr>
          <w:rFonts w:hint="eastAsia" w:ascii="Times New Roman" w:hAnsi="Times New Roman" w:eastAsia="宋体" w:cs="Times New Roman"/>
          <w:color w:val="auto"/>
          <w:kern w:val="0"/>
          <w:sz w:val="24"/>
          <w:szCs w:val="24"/>
          <w:highlight w:val="none"/>
        </w:rPr>
        <w:t>约定</w:t>
      </w:r>
      <w:r>
        <w:rPr>
          <w:rFonts w:hint="default" w:ascii="Times New Roman" w:hAnsi="Times New Roman" w:eastAsia="宋体" w:cs="Times New Roman"/>
          <w:color w:val="auto"/>
          <w:kern w:val="0"/>
          <w:sz w:val="24"/>
          <w:szCs w:val="24"/>
          <w:highlight w:val="none"/>
        </w:rPr>
        <w:t>的时间内完成全部服务事项。</w:t>
      </w:r>
    </w:p>
    <w:p w14:paraId="5FA11A81">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在交付前，乙方应作出全面检查和对文件进行整理，并列出清单，作为</w:t>
      </w:r>
      <w:r>
        <w:rPr>
          <w:rFonts w:hint="eastAsia" w:ascii="Times New Roman" w:hAnsi="Times New Roman" w:eastAsia="宋体" w:cs="Times New Roman"/>
          <w:color w:val="auto"/>
          <w:kern w:val="0"/>
          <w:sz w:val="24"/>
          <w:szCs w:val="24"/>
          <w:highlight w:val="none"/>
        </w:rPr>
        <w:t>上级</w:t>
      </w:r>
      <w:r>
        <w:rPr>
          <w:rFonts w:hint="default" w:ascii="Times New Roman" w:hAnsi="Times New Roman" w:eastAsia="宋体" w:cs="Times New Roman"/>
          <w:color w:val="auto"/>
          <w:kern w:val="0"/>
          <w:sz w:val="24"/>
          <w:szCs w:val="24"/>
          <w:highlight w:val="none"/>
        </w:rPr>
        <w:t>主管部门验收和使用的技术条件依据。</w:t>
      </w:r>
    </w:p>
    <w:p w14:paraId="41C7F5DD">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b w:val="0"/>
          <w:color w:val="auto"/>
          <w:kern w:val="2"/>
          <w:sz w:val="24"/>
          <w:szCs w:val="24"/>
          <w:highlight w:val="none"/>
          <w:lang w:val="en-US" w:eastAsia="zh-CN" w:bidi="ar-SA"/>
        </w:rPr>
      </w:pPr>
      <w:r>
        <w:rPr>
          <w:rFonts w:hint="eastAsia" w:ascii="Times New Roman" w:hAnsi="Times New Roman" w:eastAsia="宋体" w:cs="Times New Roman"/>
          <w:b w:val="0"/>
          <w:color w:val="auto"/>
          <w:kern w:val="2"/>
          <w:sz w:val="24"/>
          <w:szCs w:val="24"/>
          <w:highlight w:val="none"/>
          <w:lang w:val="en-US" w:eastAsia="zh-CN" w:bidi="ar-SA"/>
        </w:rPr>
        <w:t>2、项目完成后相关成果需通过专家评估验收并将最终成果报告上报至主管部门。</w:t>
      </w:r>
    </w:p>
    <w:p w14:paraId="67810F8F">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 xml:space="preserve"> 甲乙双方关于验收的其他</w:t>
      </w:r>
      <w:r>
        <w:rPr>
          <w:rFonts w:hint="eastAsia" w:ascii="Times New Roman" w:hAnsi="Times New Roman" w:eastAsia="宋体" w:cs="Times New Roman"/>
          <w:color w:val="auto"/>
          <w:kern w:val="0"/>
          <w:sz w:val="24"/>
          <w:szCs w:val="24"/>
          <w:highlight w:val="none"/>
        </w:rPr>
        <w:t>约定</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rPr>
        <w:t>如上级主管部门对提交的成果报告要求进行完善及修改的，乙方应无条件按要求进行完善修改并达到上级主管部门要求。如乙方无法完成上级主管部门要求的，</w:t>
      </w:r>
      <w:r>
        <w:rPr>
          <w:rFonts w:hint="default" w:ascii="Times New Roman" w:hAnsi="Times New Roman" w:eastAsia="宋体" w:cs="Times New Roman"/>
          <w:color w:val="auto"/>
          <w:kern w:val="0"/>
          <w:sz w:val="24"/>
          <w:szCs w:val="24"/>
          <w:highlight w:val="none"/>
        </w:rPr>
        <w:t>甲方有权解除合同</w:t>
      </w:r>
      <w:r>
        <w:rPr>
          <w:rFonts w:hint="eastAsia" w:ascii="Times New Roman" w:hAnsi="Times New Roman" w:eastAsia="宋体" w:cs="Times New Roman"/>
          <w:color w:val="auto"/>
          <w:kern w:val="0"/>
          <w:sz w:val="24"/>
          <w:szCs w:val="24"/>
          <w:highlight w:val="none"/>
        </w:rPr>
        <w:t>并由</w:t>
      </w:r>
      <w:r>
        <w:rPr>
          <w:rFonts w:hint="default" w:ascii="Times New Roman" w:hAnsi="Times New Roman" w:eastAsia="宋体" w:cs="Times New Roman"/>
          <w:color w:val="auto"/>
          <w:kern w:val="0"/>
          <w:sz w:val="24"/>
          <w:szCs w:val="24"/>
          <w:highlight w:val="none"/>
        </w:rPr>
        <w:t>乙方承担所有责任。</w:t>
      </w:r>
    </w:p>
    <w:p w14:paraId="60CA50BF">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2" w:firstLineChars="200"/>
        <w:jc w:val="both"/>
        <w:textAlignment w:val="auto"/>
        <w:rPr>
          <w:rFonts w:hint="default"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七、付款方式</w:t>
      </w:r>
    </w:p>
    <w:p w14:paraId="3D7298D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按照以下确定的付款方式，采购人及时办理付款手续。对于满足合同约定支付条件的，自收到发票后10个工作日内将资金支付到合同约定的供应商账户或供应商数字人民币账户。</w:t>
      </w:r>
    </w:p>
    <w:p w14:paraId="751A9B8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eastAsia="仿宋_GB2312" w:cs="仿宋_GB2312"/>
          <w:color w:val="auto"/>
          <w:sz w:val="24"/>
          <w:szCs w:val="21"/>
          <w:highlight w:val="none"/>
        </w:rPr>
      </w:pPr>
      <w:r>
        <w:rPr>
          <w:rFonts w:hint="eastAsia" w:ascii="Times New Roman" w:hAnsi="Times New Roman" w:eastAsia="宋体" w:cs="Times New Roman"/>
          <w:bCs/>
          <w:color w:val="auto"/>
          <w:sz w:val="24"/>
          <w:szCs w:val="21"/>
          <w:highlight w:val="none"/>
        </w:rPr>
        <w:t>预付款：合同金额的</w:t>
      </w:r>
      <w:r>
        <w:rPr>
          <w:rFonts w:hint="default" w:ascii="Times New Roman" w:hAnsi="Times New Roman" w:eastAsia="宋体" w:cs="Times New Roman"/>
          <w:bCs/>
          <w:color w:val="auto"/>
          <w:sz w:val="24"/>
          <w:szCs w:val="21"/>
          <w:highlight w:val="none"/>
        </w:rPr>
        <w:t>10</w:t>
      </w:r>
      <w:r>
        <w:rPr>
          <w:rFonts w:hint="eastAsia" w:ascii="Times New Roman" w:hAnsi="Times New Roman" w:eastAsia="宋体" w:cs="Times New Roman"/>
          <w:bCs/>
          <w:color w:val="auto"/>
          <w:sz w:val="24"/>
          <w:szCs w:val="21"/>
          <w:highlight w:val="none"/>
        </w:rPr>
        <w:t xml:space="preserve"> %，合同签订后按规定支付；</w:t>
      </w:r>
      <w:r>
        <w:rPr>
          <w:rFonts w:hint="eastAsia" w:ascii="Times New Roman" w:hAnsi="Times New Roman" w:eastAsia="仿宋_GB2312" w:cs="仿宋_GB2312"/>
          <w:color w:val="auto"/>
          <w:sz w:val="24"/>
          <w:szCs w:val="21"/>
          <w:highlight w:val="none"/>
        </w:rPr>
        <w:t xml:space="preserve"> </w:t>
      </w:r>
    </w:p>
    <w:p w14:paraId="1FCE923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eastAsia="宋体" w:cs="Times New Roman"/>
          <w:bCs/>
          <w:color w:val="auto"/>
          <w:sz w:val="24"/>
          <w:szCs w:val="21"/>
          <w:highlight w:val="none"/>
        </w:rPr>
      </w:pPr>
      <w:r>
        <w:rPr>
          <w:rFonts w:hint="default" w:ascii="宋体" w:hAnsi="宋体" w:eastAsia="宋体" w:cs="宋体"/>
          <w:bCs/>
          <w:color w:val="auto"/>
          <w:sz w:val="24"/>
          <w:szCs w:val="24"/>
          <w:highlight w:val="none"/>
        </w:rPr>
        <w:t>最终付款：</w:t>
      </w:r>
      <w:r>
        <w:rPr>
          <w:rFonts w:hint="eastAsia" w:cs="Times New Roman"/>
          <w:bCs/>
          <w:color w:val="auto"/>
          <w:kern w:val="0"/>
          <w:sz w:val="24"/>
          <w:szCs w:val="21"/>
          <w:highlight w:val="none"/>
          <w:lang w:eastAsia="zh-CN"/>
        </w:rPr>
        <w:t>项目完成并经验收合格后30个工作日内，乙方提交等额发票后支付。</w:t>
      </w:r>
    </w:p>
    <w:p w14:paraId="189AE50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注：在签订合同时，中标人明确表示无需预付款或者主动要求降低预付款比例的金额，采购人可不适用预付款规定，（合同款可以采用数字人民币形式支付）。</w:t>
      </w:r>
    </w:p>
    <w:p w14:paraId="258FC05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仿宋_GB2312"/>
          <w:color w:val="auto"/>
          <w:sz w:val="24"/>
          <w:szCs w:val="24"/>
          <w:highlight w:val="none"/>
          <w:lang w:eastAsia="zh-CN"/>
        </w:rPr>
      </w:pPr>
      <w:r>
        <w:rPr>
          <w:rFonts w:hint="eastAsia" w:ascii="宋体" w:hAnsi="宋体" w:eastAsia="宋体" w:cs="仿宋_GB2312"/>
          <w:color w:val="auto"/>
          <w:sz w:val="24"/>
          <w:szCs w:val="24"/>
          <w:highlight w:val="none"/>
          <w:lang w:eastAsia="zh-CN"/>
        </w:rPr>
        <w:t>八、税费</w:t>
      </w:r>
    </w:p>
    <w:p w14:paraId="4A574D1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eastAsia="zh-CN"/>
        </w:rPr>
        <w:t>本合同执行中相关的一切税费均由乙方负责。</w:t>
      </w:r>
    </w:p>
    <w:p w14:paraId="13F87EC1">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2" w:firstLineChars="200"/>
        <w:jc w:val="both"/>
        <w:textAlignment w:val="auto"/>
        <w:rPr>
          <w:rFonts w:hint="default"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八 、安全责任</w:t>
      </w:r>
    </w:p>
    <w:p w14:paraId="3CCDFDF7">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0" w:firstLineChars="200"/>
        <w:jc w:val="both"/>
        <w:textAlignment w:val="auto"/>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1、乙方必须按安全操作规程要求进行管理，必须确保安全，对出现的各类安全事故负全部法律责任，并承担由此而发生的一切经济损失。</w:t>
      </w:r>
    </w:p>
    <w:p w14:paraId="43806A78">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0" w:firstLineChars="200"/>
        <w:jc w:val="both"/>
        <w:textAlignment w:val="auto"/>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2、如乙方发生安全事故不及时妥善处理，引起纠纷或诉讼，甲方有权扣留未付合同价款用于支付事故处理费用。</w:t>
      </w:r>
    </w:p>
    <w:p w14:paraId="5FDE32E3">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2" w:firstLineChars="200"/>
        <w:jc w:val="both"/>
        <w:textAlignment w:val="auto"/>
        <w:rPr>
          <w:rFonts w:hint="default"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九 、违约条款</w:t>
      </w:r>
    </w:p>
    <w:p w14:paraId="3D2E4E42">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0" w:firstLineChars="200"/>
        <w:jc w:val="both"/>
        <w:textAlignment w:val="auto"/>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1、乙方不按期完成合同约定的内容，应向甲方支付违约金，除甲方或不可抗力造成原因外，甲方将从合同款中扣除误期赔偿费而不影响合同项目的其他补救方法，赔偿费按每天迟交未提供服务费用的 0.5%计收，直至提供服务为止违约金可从合同款中扣除，延期超过15日，甲方有权强制解除合同。</w:t>
      </w:r>
    </w:p>
    <w:p w14:paraId="711FF58A">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0" w:firstLineChars="200"/>
        <w:jc w:val="both"/>
        <w:textAlignment w:val="auto"/>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2、非因甲方原因，乙方不履行本合同规定的义务，致使工期延误，甲方有权要求其强制履行或解除合同，并要求乙方等额赔偿由此造成的一切损失。</w:t>
      </w:r>
    </w:p>
    <w:p w14:paraId="78C5134E">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0" w:firstLineChars="200"/>
        <w:jc w:val="both"/>
        <w:textAlignment w:val="auto"/>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3、本项目不得转让分包，如有发生，甲方有权要求乙方无条件退场，由此造成的一切损失由乙方负责。</w:t>
      </w:r>
    </w:p>
    <w:p w14:paraId="4BE63842">
      <w:pPr>
        <w:keepNext w:val="0"/>
        <w:keepLines w:val="0"/>
        <w:pageBreakBefore w:val="0"/>
        <w:widowControl w:val="0"/>
        <w:tabs>
          <w:tab w:val="left" w:pos="753"/>
        </w:tabs>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4、甲方迟延支付乙方款项的，应当支付逾期利息。双方对逾期利息的利率有约定的，约定利率不得低于合同订立时1年期贷款市场报价利率；未作约定的，按中国人民银行同期同类贷款基本利率支付逾期利息。</w:t>
      </w:r>
    </w:p>
    <w:p w14:paraId="5E4526CE">
      <w:pPr>
        <w:keepNext w:val="0"/>
        <w:keepLines w:val="0"/>
        <w:pageBreakBefore w:val="0"/>
        <w:widowControl w:val="0"/>
        <w:kinsoku/>
        <w:wordWrap/>
        <w:overflowPunct/>
        <w:topLinePunct w:val="0"/>
        <w:autoSpaceDE/>
        <w:autoSpaceDN/>
        <w:bidi w:val="0"/>
        <w:adjustRightInd/>
        <w:snapToGrid/>
        <w:spacing w:line="58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eastAsia="zh-CN"/>
        </w:rPr>
        <w:t>十、</w:t>
      </w:r>
      <w:r>
        <w:rPr>
          <w:rFonts w:hint="default" w:ascii="Times New Roman" w:hAnsi="Times New Roman" w:eastAsia="宋体" w:cs="Times New Roman"/>
          <w:b/>
          <w:bCs/>
          <w:color w:val="auto"/>
          <w:kern w:val="0"/>
          <w:sz w:val="24"/>
          <w:szCs w:val="24"/>
          <w:highlight w:val="none"/>
        </w:rPr>
        <w:t>不可抗力事件处理</w:t>
      </w:r>
    </w:p>
    <w:p w14:paraId="5AEFF9C3">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507B0F5C">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4AE3883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outlineLvl w:val="4"/>
        <w:rPr>
          <w:rFonts w:hint="default" w:ascii="宋体" w:hAnsi="宋体" w:eastAsia="宋体" w:cs="仿宋_GB2312"/>
          <w:b/>
          <w:bCs/>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十一、合同争议</w:t>
      </w:r>
    </w:p>
    <w:p w14:paraId="3540981A">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因履行本合同引起的或与本合同有关的争议，甲、乙双方应首先通过友好协商解决；如果协商不能解决争议，甲乙双方同意采取下列两种方式的第</w:t>
      </w:r>
      <w:r>
        <w:rPr>
          <w:rFonts w:hint="default" w:ascii="Times New Roman" w:hAnsi="Times New Roman" w:eastAsia="宋体" w:cs="Times New Roman"/>
          <w:color w:val="auto"/>
          <w:kern w:val="0"/>
          <w:sz w:val="24"/>
          <w:szCs w:val="24"/>
          <w:highlight w:val="none"/>
          <w:u w:val="single"/>
        </w:rPr>
        <w:t>（1）</w:t>
      </w:r>
      <w:r>
        <w:rPr>
          <w:rFonts w:hint="default" w:ascii="Times New Roman" w:hAnsi="Times New Roman" w:eastAsia="宋体" w:cs="Times New Roman"/>
          <w:color w:val="auto"/>
          <w:kern w:val="0"/>
          <w:sz w:val="24"/>
          <w:szCs w:val="24"/>
          <w:highlight w:val="none"/>
        </w:rPr>
        <w:t>种方式解决争议：</w:t>
      </w:r>
    </w:p>
    <w:p w14:paraId="3B4FFB90">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（1）向甲方所在地有管辖权的人民法院提起诉讼，适用中华人民共和国法律；</w:t>
      </w:r>
    </w:p>
    <w:p w14:paraId="78C733B7">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（2）向宿迁市仲裁委员会按其仲裁规则申请仲裁。</w:t>
      </w:r>
    </w:p>
    <w:p w14:paraId="1655EA1C">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textAlignment w:val="auto"/>
        <w:rPr>
          <w:rFonts w:hint="eastAsia" w:ascii="宋体" w:hAnsi="宋体" w:eastAsia="宋体" w:cs="仿宋_GB2312"/>
          <w:color w:val="auto"/>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若甲乙双方任何一方都没有选择解除合同的，为避免扩大损失，在诉讼或仲裁期间，双方应继续履行。</w:t>
      </w:r>
      <w:r>
        <w:rPr>
          <w:rFonts w:hint="eastAsia" w:ascii="宋体" w:hAnsi="宋体" w:eastAsia="宋体" w:cs="仿宋_GB2312"/>
          <w:color w:val="auto"/>
          <w:sz w:val="24"/>
          <w:szCs w:val="24"/>
          <w:highlight w:val="none"/>
          <w:lang w:val="en-US" w:eastAsia="zh-CN" w:bidi="ar-SA"/>
        </w:rPr>
        <w:t xml:space="preserve">  </w:t>
      </w:r>
    </w:p>
    <w:p w14:paraId="11F2BC56">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十二、知识产权</w:t>
      </w:r>
    </w:p>
    <w:p w14:paraId="7F6878B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3106660A">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outlineLvl w:val="4"/>
        <w:rPr>
          <w:rFonts w:hint="default" w:ascii="宋体" w:hAnsi="宋体" w:eastAsia="宋体" w:cs="仿宋_GB2312"/>
          <w:b/>
          <w:bCs/>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十三、合同生效及审核</w:t>
      </w:r>
    </w:p>
    <w:p w14:paraId="3657347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本合同经甲方、乙方签字盖章后生效，合同签订的内容不能超出招标文件和投标文件的实质性内容。本合同一式陆份，甲乙双方各执叁份，以中文书写。</w:t>
      </w:r>
    </w:p>
    <w:p w14:paraId="34986AE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outlineLvl w:val="4"/>
        <w:rPr>
          <w:rFonts w:hint="default" w:ascii="宋体" w:hAnsi="宋体" w:eastAsia="宋体" w:cs="仿宋_GB2312"/>
          <w:b/>
          <w:bCs/>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十四、合同的组成部分</w:t>
      </w:r>
    </w:p>
    <w:p w14:paraId="5762B92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本合同条款、中标通知书、招标文件、投标文件及投标人在开标时的书面承诺等构成合同的组成部分。</w:t>
      </w:r>
    </w:p>
    <w:p w14:paraId="118BDEF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本合同一切未尽事宜，按民法典有关规定执行，无相关规定的，由甲乙双方协商解决。</w:t>
      </w:r>
    </w:p>
    <w:p w14:paraId="6F561B03">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outlineLvl w:val="4"/>
        <w:rPr>
          <w:rFonts w:hint="default" w:ascii="宋体" w:hAnsi="宋体" w:eastAsia="宋体" w:cs="仿宋_GB2312"/>
          <w:b/>
          <w:bCs/>
          <w:color w:val="auto"/>
          <w:sz w:val="24"/>
          <w:szCs w:val="24"/>
          <w:highlight w:val="none"/>
          <w:lang w:val="en-US" w:eastAsia="zh-CN" w:bidi="ar-SA"/>
        </w:rPr>
      </w:pPr>
      <w:r>
        <w:rPr>
          <w:rFonts w:hint="eastAsia" w:ascii="宋体" w:hAnsi="宋体" w:eastAsia="宋体" w:cs="仿宋_GB2312"/>
          <w:b/>
          <w:bCs/>
          <w:color w:val="auto"/>
          <w:sz w:val="24"/>
          <w:szCs w:val="24"/>
          <w:highlight w:val="none"/>
          <w:lang w:val="en-US" w:eastAsia="zh-CN" w:bidi="ar-SA"/>
        </w:rPr>
        <w:t>十五、适用法律</w:t>
      </w:r>
    </w:p>
    <w:p w14:paraId="47DE4C4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本合同应按照中华人民共和国的现行法律进行解释。</w:t>
      </w:r>
    </w:p>
    <w:p w14:paraId="3C2BC72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4"/>
        <w:rPr>
          <w:rFonts w:hint="default" w:ascii="宋体" w:hAnsi="宋体" w:eastAsia="宋体" w:cs="仿宋_GB2312"/>
          <w:color w:val="auto"/>
          <w:sz w:val="24"/>
          <w:szCs w:val="24"/>
          <w:highlight w:val="none"/>
          <w:lang w:val="en-US" w:eastAsia="zh-CN" w:bidi="ar-SA"/>
        </w:rPr>
      </w:pPr>
    </w:p>
    <w:p w14:paraId="15FD41F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 xml:space="preserve">甲方：         （盖章）               乙方：        （盖章）      </w:t>
      </w:r>
    </w:p>
    <w:p w14:paraId="3F26248F">
      <w:pPr>
        <w:keepNext w:val="0"/>
        <w:keepLines w:val="0"/>
        <w:pageBreakBefore w:val="0"/>
        <w:widowControl w:val="0"/>
        <w:tabs>
          <w:tab w:val="right" w:pos="9514"/>
        </w:tabs>
        <w:kinsoku/>
        <w:wordWrap/>
        <w:overflowPunct/>
        <w:topLinePunct w:val="0"/>
        <w:autoSpaceDE/>
        <w:autoSpaceDN/>
        <w:bidi w:val="0"/>
        <w:adjustRightInd/>
        <w:snapToGrid/>
        <w:spacing w:line="360" w:lineRule="auto"/>
        <w:ind w:left="0" w:firstLine="480" w:firstLineChars="200"/>
        <w:jc w:val="left"/>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 xml:space="preserve">地址： </w:t>
      </w:r>
      <w:r>
        <w:rPr>
          <w:rFonts w:hint="default" w:ascii="宋体" w:hAnsi="宋体" w:eastAsia="宋体" w:cs="仿宋_GB2312"/>
          <w:color w:val="auto"/>
          <w:sz w:val="24"/>
          <w:szCs w:val="24"/>
          <w:highlight w:val="none"/>
          <w:lang w:val="en-US" w:eastAsia="zh-CN" w:bidi="ar-SA"/>
        </w:rPr>
        <w:t xml:space="preserve">                     </w:t>
      </w:r>
      <w:r>
        <w:rPr>
          <w:rFonts w:hint="eastAsia" w:ascii="宋体" w:hAnsi="宋体" w:eastAsia="宋体" w:cs="仿宋_GB2312"/>
          <w:color w:val="auto"/>
          <w:sz w:val="24"/>
          <w:szCs w:val="24"/>
          <w:highlight w:val="none"/>
          <w:lang w:val="en-US" w:eastAsia="zh-CN" w:bidi="ar-SA"/>
        </w:rPr>
        <w:t xml:space="preserve">          地址：</w:t>
      </w:r>
      <w:r>
        <w:rPr>
          <w:rFonts w:hint="eastAsia" w:ascii="宋体" w:hAnsi="宋体" w:eastAsia="宋体" w:cs="仿宋_GB2312"/>
          <w:color w:val="auto"/>
          <w:sz w:val="24"/>
          <w:szCs w:val="24"/>
          <w:highlight w:val="none"/>
          <w:lang w:val="en-US" w:eastAsia="zh-CN" w:bidi="ar-SA"/>
        </w:rPr>
        <w:tab/>
      </w:r>
    </w:p>
    <w:p w14:paraId="3EF2BE2A">
      <w:pPr>
        <w:keepNext w:val="0"/>
        <w:keepLines w:val="0"/>
        <w:pageBreakBefore w:val="0"/>
        <w:widowControl w:val="0"/>
        <w:tabs>
          <w:tab w:val="right" w:pos="9514"/>
        </w:tabs>
        <w:kinsoku/>
        <w:wordWrap/>
        <w:overflowPunct/>
        <w:topLinePunct w:val="0"/>
        <w:autoSpaceDE/>
        <w:autoSpaceDN/>
        <w:bidi w:val="0"/>
        <w:adjustRightInd/>
        <w:snapToGrid/>
        <w:spacing w:line="360" w:lineRule="auto"/>
        <w:ind w:left="0" w:firstLine="480" w:firstLineChars="200"/>
        <w:jc w:val="left"/>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 xml:space="preserve">法定（授权）代表人：                  法定（授权）代表人：               </w:t>
      </w:r>
    </w:p>
    <w:p w14:paraId="3DDCB5E3">
      <w:pPr>
        <w:keepNext w:val="0"/>
        <w:keepLines w:val="0"/>
        <w:pageBreakBefore w:val="0"/>
        <w:widowControl w:val="0"/>
        <w:tabs>
          <w:tab w:val="right" w:pos="9514"/>
        </w:tabs>
        <w:kinsoku/>
        <w:wordWrap/>
        <w:overflowPunct/>
        <w:topLinePunct w:val="0"/>
        <w:autoSpaceDE/>
        <w:autoSpaceDN/>
        <w:bidi w:val="0"/>
        <w:adjustRightInd/>
        <w:snapToGrid/>
        <w:spacing w:line="360" w:lineRule="auto"/>
        <w:ind w:left="0" w:firstLine="480" w:firstLineChars="200"/>
        <w:jc w:val="left"/>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 xml:space="preserve">联系人： </w:t>
      </w:r>
      <w:r>
        <w:rPr>
          <w:rFonts w:hint="default" w:ascii="宋体" w:hAnsi="宋体" w:eastAsia="宋体" w:cs="仿宋_GB2312"/>
          <w:color w:val="auto"/>
          <w:sz w:val="24"/>
          <w:szCs w:val="24"/>
          <w:highlight w:val="none"/>
          <w:lang w:val="en-US" w:eastAsia="zh-CN" w:bidi="ar-SA"/>
        </w:rPr>
        <w:t xml:space="preserve"> </w:t>
      </w:r>
      <w:r>
        <w:rPr>
          <w:rFonts w:hint="eastAsia" w:ascii="宋体" w:hAnsi="宋体" w:eastAsia="宋体" w:cs="仿宋_GB2312"/>
          <w:color w:val="auto"/>
          <w:sz w:val="24"/>
          <w:szCs w:val="24"/>
          <w:highlight w:val="none"/>
          <w:lang w:val="en-US" w:eastAsia="zh-CN" w:bidi="ar-SA"/>
        </w:rPr>
        <w:t xml:space="preserve">               </w:t>
      </w:r>
      <w:r>
        <w:rPr>
          <w:rFonts w:hint="default" w:ascii="宋体" w:hAnsi="宋体" w:eastAsia="宋体" w:cs="仿宋_GB2312"/>
          <w:color w:val="auto"/>
          <w:sz w:val="24"/>
          <w:szCs w:val="24"/>
          <w:highlight w:val="none"/>
          <w:lang w:val="en-US" w:eastAsia="zh-CN" w:bidi="ar-SA"/>
        </w:rPr>
        <w:t xml:space="preserve">            </w:t>
      </w:r>
      <w:r>
        <w:rPr>
          <w:rFonts w:hint="eastAsia" w:ascii="宋体" w:hAnsi="宋体" w:eastAsia="宋体" w:cs="仿宋_GB2312"/>
          <w:color w:val="auto"/>
          <w:sz w:val="24"/>
          <w:szCs w:val="24"/>
          <w:highlight w:val="none"/>
          <w:lang w:val="en-US" w:eastAsia="zh-CN" w:bidi="ar-SA"/>
        </w:rPr>
        <w:t xml:space="preserve"> 联系人：     </w:t>
      </w:r>
    </w:p>
    <w:p w14:paraId="545159C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4"/>
        <w:rPr>
          <w:rFonts w:hint="default" w:ascii="宋体" w:hAnsi="宋体" w:eastAsia="宋体" w:cs="仿宋_GB2312"/>
          <w:color w:val="auto"/>
          <w:sz w:val="24"/>
          <w:szCs w:val="24"/>
          <w:highlight w:val="none"/>
          <w:lang w:val="en-US" w:eastAsia="zh-CN" w:bidi="ar-SA"/>
        </w:rPr>
      </w:pPr>
      <w:r>
        <w:rPr>
          <w:rFonts w:hint="eastAsia" w:ascii="宋体" w:hAnsi="宋体" w:eastAsia="宋体" w:cs="仿宋_GB2312"/>
          <w:color w:val="auto"/>
          <w:sz w:val="24"/>
          <w:szCs w:val="24"/>
          <w:highlight w:val="none"/>
          <w:lang w:val="en-US" w:eastAsia="zh-CN" w:bidi="ar-SA"/>
        </w:rPr>
        <w:t xml:space="preserve">联系电话：                            联系电话： </w:t>
      </w:r>
    </w:p>
    <w:p w14:paraId="6E6E00C1">
      <w:pPr>
        <w:ind w:firstLine="210"/>
        <w:rPr>
          <w:rFonts w:hAnsi="宋体"/>
          <w:color w:val="auto"/>
          <w:highlight w:val="none"/>
        </w:rPr>
      </w:pPr>
      <w:r>
        <w:rPr>
          <w:rFonts w:hint="eastAsia" w:ascii="宋体" w:hAnsi="宋体" w:eastAsia="宋体" w:cs="仿宋_GB2312"/>
          <w:color w:val="auto"/>
          <w:sz w:val="24"/>
          <w:szCs w:val="24"/>
          <w:highlight w:val="none"/>
          <w:lang w:val="en-US" w:eastAsia="zh-CN" w:bidi="ar-SA"/>
        </w:rPr>
        <w:t xml:space="preserve">年  月  日                           年  月  日   </w:t>
      </w:r>
    </w:p>
    <w:p w14:paraId="3BEEE5A4">
      <w:pPr>
        <w:pStyle w:val="220"/>
        <w:spacing w:before="120" w:after="120" w:line="0" w:lineRule="atLeast"/>
        <w:jc w:val="center"/>
        <w:rPr>
          <w:rFonts w:ascii="Times New Roman" w:hAnsi="Times New Roman" w:eastAsia="黑体"/>
          <w:bCs/>
          <w:color w:val="auto"/>
          <w:sz w:val="44"/>
          <w:highlight w:val="none"/>
        </w:rPr>
      </w:pPr>
    </w:p>
    <w:p w14:paraId="7A227BA6">
      <w:pPr>
        <w:pStyle w:val="220"/>
        <w:numPr>
          <w:ilvl w:val="0"/>
          <w:numId w:val="6"/>
        </w:numPr>
        <w:spacing w:before="120" w:after="120" w:line="0" w:lineRule="atLeast"/>
        <w:jc w:val="center"/>
        <w:rPr>
          <w:rFonts w:ascii="Times New Roman" w:hAnsi="Times New Roman" w:eastAsia="黑体"/>
          <w:bCs/>
          <w:color w:val="auto"/>
          <w:sz w:val="44"/>
          <w:highlight w:val="none"/>
        </w:rPr>
      </w:pPr>
      <w:r>
        <w:rPr>
          <w:rFonts w:hint="eastAsia" w:ascii="Times New Roman" w:hAnsi="Times New Roman" w:eastAsia="黑体"/>
          <w:bCs/>
          <w:color w:val="auto"/>
          <w:sz w:val="44"/>
          <w:highlight w:val="none"/>
        </w:rPr>
        <w:br w:type="page" w:clear="all"/>
      </w:r>
      <w:bookmarkEnd w:id="192"/>
      <w:r>
        <w:rPr>
          <w:rFonts w:hint="eastAsia" w:ascii="Times New Roman" w:hAnsi="Times New Roman" w:eastAsia="黑体"/>
          <w:bCs/>
          <w:color w:val="auto"/>
          <w:sz w:val="44"/>
          <w:highlight w:val="none"/>
        </w:rPr>
        <w:t>采购需求</w:t>
      </w:r>
      <w:bookmarkEnd w:id="193"/>
      <w:bookmarkEnd w:id="194"/>
      <w:bookmarkEnd w:id="195"/>
    </w:p>
    <w:p w14:paraId="40312D26">
      <w:pPr>
        <w:pStyle w:val="344"/>
        <w:spacing w:line="360" w:lineRule="auto"/>
        <w:ind w:firstLine="480"/>
        <w:jc w:val="left"/>
        <w:rPr>
          <w:rStyle w:val="345"/>
          <w:rFonts w:hint="eastAsia" w:ascii="宋体" w:hAnsi="宋体"/>
          <w:color w:val="auto"/>
          <w:sz w:val="24"/>
          <w:szCs w:val="22"/>
          <w:highlight w:val="none"/>
        </w:rPr>
      </w:pPr>
      <w:bookmarkStart w:id="202" w:name="_Toc26554093"/>
      <w:bookmarkStart w:id="203" w:name="_Toc49090575"/>
    </w:p>
    <w:p w14:paraId="764C3572">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项目属性：服务类项目</w:t>
      </w:r>
    </w:p>
    <w:p w14:paraId="31502FB3">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本项目采购标的对应的中小企业划分标准所属行业：其他未列明行业</w:t>
      </w:r>
    </w:p>
    <w:p w14:paraId="0E3BD437">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本项目不接受进口产品</w:t>
      </w:r>
    </w:p>
    <w:p w14:paraId="6FCDDCF1">
      <w:pPr>
        <w:spacing w:line="360" w:lineRule="auto"/>
        <w:rPr>
          <w:rFonts w:hint="default"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t>一、项目概况：</w:t>
      </w:r>
    </w:p>
    <w:p w14:paraId="4BB12C77">
      <w:pPr>
        <w:spacing w:line="360" w:lineRule="auto"/>
        <w:ind w:firstLine="48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1.项目名称：</w:t>
      </w:r>
      <w:r>
        <w:rPr>
          <w:rFonts w:hint="eastAsia" w:ascii="Times New Roman" w:hAnsi="Times New Roman" w:eastAsia="宋体" w:cs="Times New Roman"/>
          <w:color w:val="auto"/>
          <w:sz w:val="24"/>
          <w:szCs w:val="24"/>
          <w:highlight w:val="none"/>
          <w:lang w:eastAsia="zh-CN"/>
        </w:rPr>
        <w:t>沭阳县2024年非项目化等新增耕地质量等级评定项目</w:t>
      </w:r>
    </w:p>
    <w:p w14:paraId="677DA324">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2.预算金额：</w:t>
      </w:r>
      <w:r>
        <w:rPr>
          <w:rFonts w:hint="eastAsia" w:ascii="Times New Roman" w:hAnsi="Times New Roman" w:eastAsia="宋体" w:cs="Times New Roman"/>
          <w:color w:val="auto"/>
          <w:sz w:val="24"/>
          <w:szCs w:val="24"/>
          <w:highlight w:val="none"/>
          <w:lang w:val="en-US" w:eastAsia="zh-CN"/>
        </w:rPr>
        <w:t>706</w:t>
      </w:r>
      <w:r>
        <w:rPr>
          <w:rFonts w:hint="eastAsia" w:ascii="Times New Roman" w:hAnsi="Times New Roman" w:eastAsia="宋体" w:cs="Times New Roman"/>
          <w:color w:val="auto"/>
          <w:sz w:val="24"/>
          <w:szCs w:val="24"/>
          <w:highlight w:val="none"/>
        </w:rPr>
        <w:t>万元</w:t>
      </w:r>
    </w:p>
    <w:p w14:paraId="703B2FF2">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3.本项目设定最高限价：</w:t>
      </w:r>
      <w:r>
        <w:rPr>
          <w:rFonts w:hint="eastAsia" w:ascii="Times New Roman" w:hAnsi="Times New Roman" w:eastAsia="宋体" w:cs="Times New Roman"/>
          <w:color w:val="auto"/>
          <w:sz w:val="24"/>
          <w:szCs w:val="24"/>
          <w:highlight w:val="none"/>
          <w:lang w:val="en-US" w:eastAsia="zh-CN"/>
        </w:rPr>
        <w:t>300元/亩</w:t>
      </w:r>
      <w:r>
        <w:rPr>
          <w:rFonts w:hint="eastAsia" w:ascii="Times New Roman" w:hAnsi="Times New Roman" w:eastAsia="宋体" w:cs="Times New Roman"/>
          <w:bCs/>
          <w:color w:val="auto"/>
          <w:kern w:val="0"/>
          <w:sz w:val="24"/>
          <w:szCs w:val="24"/>
          <w:highlight w:val="none"/>
          <w:lang w:val="en-US" w:eastAsia="zh-CN"/>
        </w:rPr>
        <w:t>（其中：土壤污染状况调查</w:t>
      </w:r>
      <w:r>
        <w:rPr>
          <w:rFonts w:hint="default" w:ascii="Times New Roman" w:hAnsi="Times New Roman" w:eastAsia="宋体" w:cs="Times New Roman"/>
          <w:bCs/>
          <w:color w:val="auto"/>
          <w:kern w:val="0"/>
          <w:sz w:val="24"/>
          <w:szCs w:val="24"/>
          <w:highlight w:val="none"/>
          <w:lang w:eastAsia="zh-CN"/>
        </w:rPr>
        <w:t>最高限价</w:t>
      </w:r>
      <w:r>
        <w:rPr>
          <w:rFonts w:hint="eastAsia" w:ascii="Times New Roman" w:hAnsi="Times New Roman" w:eastAsia="宋体" w:cs="Times New Roman"/>
          <w:bCs/>
          <w:color w:val="auto"/>
          <w:kern w:val="0"/>
          <w:sz w:val="24"/>
          <w:szCs w:val="24"/>
          <w:highlight w:val="none"/>
          <w:lang w:val="en-US" w:eastAsia="zh-CN"/>
        </w:rPr>
        <w:t>100</w:t>
      </w:r>
      <w:r>
        <w:rPr>
          <w:rFonts w:hint="eastAsia" w:ascii="Times New Roman" w:hAnsi="Times New Roman" w:eastAsia="宋体" w:cs="Times New Roman"/>
          <w:bCs/>
          <w:color w:val="auto"/>
          <w:kern w:val="0"/>
          <w:sz w:val="24"/>
          <w:szCs w:val="24"/>
          <w:highlight w:val="none"/>
        </w:rPr>
        <w:t>元/亩</w:t>
      </w:r>
      <w:r>
        <w:rPr>
          <w:rFonts w:hint="eastAsia" w:ascii="Times New Roman" w:hAnsi="Times New Roman" w:eastAsia="宋体" w:cs="Times New Roman"/>
          <w:bCs/>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rPr>
        <w:t>补充耕地质量评定</w:t>
      </w:r>
      <w:r>
        <w:rPr>
          <w:rFonts w:hint="default" w:ascii="Times New Roman" w:hAnsi="Times New Roman" w:eastAsia="宋体" w:cs="Times New Roman"/>
          <w:color w:val="auto"/>
          <w:kern w:val="0"/>
          <w:sz w:val="24"/>
          <w:szCs w:val="24"/>
          <w:highlight w:val="none"/>
        </w:rPr>
        <w:t>最高限价</w:t>
      </w:r>
      <w:r>
        <w:rPr>
          <w:rFonts w:hint="eastAsia" w:ascii="Times New Roman" w:hAnsi="Times New Roman" w:eastAsia="宋体" w:cs="Times New Roman"/>
          <w:color w:val="auto"/>
          <w:kern w:val="0"/>
          <w:sz w:val="24"/>
          <w:szCs w:val="24"/>
          <w:highlight w:val="none"/>
          <w:lang w:val="en-US" w:eastAsia="zh-CN"/>
        </w:rPr>
        <w:t>200元/亩）</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高于此限价按无效投标处理。</w:t>
      </w:r>
    </w:p>
    <w:p w14:paraId="36A24D54">
      <w:pPr>
        <w:spacing w:line="360" w:lineRule="auto"/>
        <w:ind w:firstLine="480"/>
        <w:rPr>
          <w:rFonts w:hint="eastAsia" w:ascii="宋体" w:hAnsi="宋体" w:eastAsia="宋体" w:cs="宋体"/>
          <w:color w:val="auto"/>
          <w:kern w:val="0"/>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rPr>
        <w:t>4.采购需求（简介）：</w:t>
      </w:r>
      <w:r>
        <w:rPr>
          <w:rFonts w:hint="eastAsia" w:ascii="宋体" w:hAnsi="宋体" w:eastAsia="宋体" w:cs="宋体"/>
          <w:color w:val="auto"/>
          <w:kern w:val="0"/>
          <w:sz w:val="24"/>
          <w:szCs w:val="24"/>
          <w:highlight w:val="none"/>
          <w:shd w:val="clear" w:color="auto" w:fill="FFFFFF"/>
          <w:lang w:val="en-US" w:eastAsia="zh-CN"/>
        </w:rPr>
        <w:t>为顺利推进我县补充耕地系统备案工作，保障全县经济社会高质量发展用地需求，根据《关于印发&lt;江苏省补充耕地质量验收实施细则&gt;（试行）的通知》（苏农建〔2026〕6号)、《关于印发&lt;江苏省补充耕地质量鉴定技术规程&gt;（试行）的通知》（苏农办建〔2026〕2号)等文件精神，结合沭阳县补充耕地质量评定工作实际，开展污染状况调查和补充耕地质量评定，其中污染状况</w:t>
      </w:r>
      <w:r>
        <w:rPr>
          <w:rFonts w:hint="default" w:ascii="宋体" w:hAnsi="宋体" w:eastAsia="宋体" w:cs="宋体"/>
          <w:color w:val="auto"/>
          <w:kern w:val="0"/>
          <w:sz w:val="24"/>
          <w:szCs w:val="24"/>
          <w:highlight w:val="none"/>
          <w:shd w:val="clear" w:color="auto" w:fill="FFFFFF"/>
          <w:lang w:eastAsia="zh-CN"/>
        </w:rPr>
        <w:t>调查</w:t>
      </w:r>
      <w:r>
        <w:rPr>
          <w:rFonts w:hint="eastAsia" w:ascii="宋体" w:hAnsi="宋体" w:eastAsia="宋体" w:cs="宋体"/>
          <w:color w:val="auto"/>
          <w:kern w:val="0"/>
          <w:sz w:val="24"/>
          <w:szCs w:val="24"/>
          <w:highlight w:val="none"/>
          <w:shd w:val="clear" w:color="auto" w:fill="FFFFFF"/>
          <w:lang w:val="en-US" w:eastAsia="zh-CN"/>
        </w:rPr>
        <w:t>面积约10000亩（最终工作量以实际发生为准）</w:t>
      </w:r>
      <w:r>
        <w:rPr>
          <w:rFonts w:hint="default" w:ascii="宋体" w:hAnsi="宋体" w:eastAsia="宋体" w:cs="宋体"/>
          <w:color w:val="auto"/>
          <w:kern w:val="0"/>
          <w:sz w:val="24"/>
          <w:szCs w:val="24"/>
          <w:highlight w:val="none"/>
          <w:shd w:val="clear" w:color="auto" w:fill="FFFFFF"/>
          <w:lang w:eastAsia="zh-CN"/>
        </w:rPr>
        <w:t>，</w:t>
      </w:r>
      <w:r>
        <w:rPr>
          <w:rFonts w:hint="eastAsia" w:ascii="宋体" w:hAnsi="宋体" w:eastAsia="宋体" w:cs="宋体"/>
          <w:color w:val="auto"/>
          <w:kern w:val="0"/>
          <w:sz w:val="24"/>
          <w:szCs w:val="24"/>
          <w:highlight w:val="none"/>
          <w:shd w:val="clear" w:color="auto" w:fill="FFFFFF"/>
          <w:lang w:eastAsia="zh-CN"/>
        </w:rPr>
        <w:t>补充耕地</w:t>
      </w:r>
      <w:r>
        <w:rPr>
          <w:rFonts w:hint="eastAsia" w:ascii="宋体" w:hAnsi="宋体" w:eastAsia="宋体" w:cs="宋体"/>
          <w:color w:val="auto"/>
          <w:kern w:val="0"/>
          <w:sz w:val="24"/>
          <w:szCs w:val="24"/>
          <w:highlight w:val="none"/>
          <w:shd w:val="clear" w:color="auto" w:fill="FFFFFF"/>
          <w:lang w:val="en-US" w:eastAsia="zh-CN"/>
        </w:rPr>
        <w:t>质量</w:t>
      </w:r>
      <w:r>
        <w:rPr>
          <w:rFonts w:hint="default" w:ascii="宋体" w:hAnsi="宋体" w:eastAsia="宋体" w:cs="宋体"/>
          <w:color w:val="auto"/>
          <w:kern w:val="0"/>
          <w:sz w:val="24"/>
          <w:szCs w:val="24"/>
          <w:highlight w:val="none"/>
          <w:shd w:val="clear" w:color="auto" w:fill="FFFFFF"/>
          <w:lang w:eastAsia="zh-CN"/>
        </w:rPr>
        <w:t>评定面</w:t>
      </w:r>
      <w:r>
        <w:rPr>
          <w:rFonts w:hint="eastAsia" w:ascii="宋体" w:hAnsi="宋体" w:eastAsia="宋体" w:cs="宋体"/>
          <w:color w:val="auto"/>
          <w:kern w:val="0"/>
          <w:sz w:val="24"/>
          <w:szCs w:val="24"/>
          <w:highlight w:val="none"/>
          <w:shd w:val="clear" w:color="auto" w:fill="FFFFFF"/>
          <w:lang w:val="en-US" w:eastAsia="zh-CN"/>
        </w:rPr>
        <w:t>积约30300亩（最终工作量以实际发生为准）。</w:t>
      </w:r>
    </w:p>
    <w:p w14:paraId="56223F5C">
      <w:pPr>
        <w:spacing w:line="360" w:lineRule="auto"/>
        <w:ind w:firstLine="480"/>
        <w:rPr>
          <w:rFonts w:hint="eastAsia" w:ascii="宋体" w:hAnsi="宋体" w:eastAsia="宋体" w:cs="宋体"/>
          <w:color w:val="auto"/>
          <w:kern w:val="0"/>
          <w:sz w:val="24"/>
          <w:szCs w:val="24"/>
          <w:highlight w:val="none"/>
          <w:shd w:val="clear" w:color="auto" w:fill="FFFFFF"/>
          <w:lang w:val="en-US" w:eastAsia="zh-CN"/>
        </w:rPr>
      </w:pPr>
      <w:r>
        <w:rPr>
          <w:rFonts w:hint="eastAsia" w:ascii="宋体" w:hAnsi="宋体" w:eastAsia="宋体" w:cs="宋体"/>
          <w:color w:val="auto"/>
          <w:kern w:val="0"/>
          <w:sz w:val="24"/>
          <w:szCs w:val="24"/>
          <w:highlight w:val="none"/>
          <w:shd w:val="clear" w:color="auto" w:fill="FFFFFF"/>
          <w:lang w:val="en-US" w:eastAsia="zh-CN"/>
        </w:rPr>
        <w:t>三、项目工作内容：</w:t>
      </w:r>
    </w:p>
    <w:p w14:paraId="29A0A4ED">
      <w:pPr>
        <w:spacing w:line="360" w:lineRule="auto"/>
        <w:ind w:firstLine="48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（一）土壤污染状况调查：</w:t>
      </w:r>
    </w:p>
    <w:p w14:paraId="6BFBABF4">
      <w:pPr>
        <w:widowControl/>
        <w:tabs>
          <w:tab w:val="left" w:pos="7740"/>
        </w:tabs>
        <w:spacing w:line="360" w:lineRule="auto"/>
        <w:ind w:firstLine="480"/>
        <w:jc w:val="left"/>
        <w:rPr>
          <w:rFonts w:hint="eastAsia" w:ascii="宋体" w:hAnsi="宋体" w:eastAsia="宋体" w:cs="宋体"/>
          <w:color w:val="auto"/>
          <w:kern w:val="0"/>
          <w:sz w:val="24"/>
          <w:szCs w:val="24"/>
          <w:highlight w:val="none"/>
        </w:rPr>
      </w:pPr>
      <w:bookmarkStart w:id="204" w:name="_Toc80122301"/>
      <w:r>
        <w:rPr>
          <w:rFonts w:hint="eastAsia" w:ascii="宋体" w:hAnsi="宋体" w:eastAsia="宋体" w:cs="宋体"/>
          <w:color w:val="auto"/>
          <w:kern w:val="0"/>
          <w:sz w:val="24"/>
          <w:szCs w:val="24"/>
          <w:highlight w:val="none"/>
        </w:rPr>
        <w:t>按照《关于印发《拟开垦为耕地的复垦土地及未利用地土壤污染状况调查技术指南（试行）》和《农用地重点地块监测技术指南（试行）》的通知》（苏农建【2023】1号）中，拟开垦为耕地的复垦土地及未利用地土壤污染状况调查技术指南（试行）工作规范，结合本项目地块情况，按需要开展第一阶段（污染识别）和第二阶段（初步采样分析），编制土壤污染状况调查报告。拟调查面积为</w:t>
      </w:r>
      <w:r>
        <w:rPr>
          <w:rFonts w:hint="eastAsia" w:ascii="宋体" w:hAnsi="宋体" w:eastAsia="宋体" w:cs="宋体"/>
          <w:color w:val="auto"/>
          <w:kern w:val="0"/>
          <w:sz w:val="24"/>
          <w:szCs w:val="24"/>
          <w:highlight w:val="none"/>
          <w:lang w:val="en-US" w:eastAsia="zh-CN"/>
        </w:rPr>
        <w:t>10000亩</w:t>
      </w:r>
      <w:r>
        <w:rPr>
          <w:rFonts w:hint="eastAsia" w:ascii="宋体" w:hAnsi="宋体" w:eastAsia="宋体" w:cs="宋体"/>
          <w:color w:val="auto"/>
          <w:kern w:val="0"/>
          <w:sz w:val="24"/>
          <w:szCs w:val="24"/>
          <w:highlight w:val="none"/>
        </w:rPr>
        <w:t>(暂定，最终以实际调查为准)。</w:t>
      </w:r>
    </w:p>
    <w:p w14:paraId="222C2BD2">
      <w:pPr>
        <w:widowControl/>
        <w:tabs>
          <w:tab w:val="left" w:pos="7740"/>
        </w:tabs>
        <w:spacing w:line="360" w:lineRule="auto"/>
        <w:ind w:firstLine="48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具体要求如下：</w:t>
      </w:r>
    </w:p>
    <w:p w14:paraId="2FF6884B">
      <w:pPr>
        <w:spacing w:line="360" w:lineRule="auto"/>
        <w:ind w:firstLine="511"/>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现场初步踏勘：由中标单位组织技术人员对每个地块逐一现场踏勘、拍照、快速检测等，中标单位提供车辆。</w:t>
      </w:r>
    </w:p>
    <w:p w14:paraId="311388CA">
      <w:pPr>
        <w:spacing w:line="360" w:lineRule="auto"/>
        <w:ind w:firstLine="511"/>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二次踏勘：开展二次踏勘，进行资料收集、人员访谈和采样送检。</w:t>
      </w:r>
    </w:p>
    <w:p w14:paraId="6DBA5297">
      <w:pPr>
        <w:spacing w:line="360" w:lineRule="auto"/>
        <w:ind w:firstLine="511"/>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土样采集：依照省《拟开垦耕地土壤污染状况调查技术指南》，编制采样方案进行采样布置，另需根据采购方要求适当增加采样点布置检测。</w:t>
      </w:r>
    </w:p>
    <w:p w14:paraId="34C7176E">
      <w:pPr>
        <w:spacing w:line="360" w:lineRule="auto"/>
        <w:ind w:firstLine="511"/>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土样样品检测：常规重金属指标8个：镉、汞、砷、铅、铬、铜、锌、镍；如有地块特征污染物，需加测相应指标。</w:t>
      </w:r>
    </w:p>
    <w:p w14:paraId="111F4B5D">
      <w:pPr>
        <w:spacing w:line="360" w:lineRule="auto"/>
        <w:ind w:firstLine="511"/>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报告编制：详细、真实并全面的介绍每个地块污染调查过程，并对调查结果进行科学评价，明确给出地块是否满足开垦要求的结论，分类编制土壤污染状况调查报告，并通过专家评审（报告包括调查工作简介、调查实施情况、布点采样方法、数据评价、结论和建议以及检测报告等）。</w:t>
      </w:r>
    </w:p>
    <w:p w14:paraId="5122E20A">
      <w:pPr>
        <w:spacing w:line="360" w:lineRule="auto"/>
        <w:ind w:firstLine="51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项目开展期间中标企业需派驻包含1名项目负责人在内的不少于3人以上项目小组在</w:t>
      </w:r>
      <w:r>
        <w:rPr>
          <w:rFonts w:hint="eastAsia" w:ascii="宋体" w:hAnsi="宋体" w:eastAsia="宋体" w:cs="宋体"/>
          <w:color w:val="auto"/>
          <w:kern w:val="0"/>
          <w:sz w:val="24"/>
          <w:szCs w:val="24"/>
          <w:highlight w:val="none"/>
          <w:lang w:eastAsia="zh-CN"/>
        </w:rPr>
        <w:t>沭阳</w:t>
      </w:r>
      <w:r>
        <w:rPr>
          <w:rFonts w:hint="eastAsia" w:ascii="宋体" w:hAnsi="宋体" w:eastAsia="宋体" w:cs="宋体"/>
          <w:color w:val="auto"/>
          <w:kern w:val="0"/>
          <w:sz w:val="24"/>
          <w:szCs w:val="24"/>
          <w:highlight w:val="none"/>
        </w:rPr>
        <w:t>开展工作。</w:t>
      </w:r>
      <w:bookmarkEnd w:id="204"/>
    </w:p>
    <w:p w14:paraId="6C14EDD5">
      <w:pPr>
        <w:spacing w:line="360" w:lineRule="auto"/>
        <w:ind w:firstLine="511"/>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技术要求：</w:t>
      </w:r>
    </w:p>
    <w:p w14:paraId="5A710022">
      <w:pPr>
        <w:spacing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关于印发《拟开垦为耕地的复垦土地及未利用地土壤污染状况调查技术指南（试行）》和《农用地重点地块监测技术指南（试行）》的通知》（苏农建【2023】1号）的要求开展土壤污染状况调查。具体技术要求如下：</w:t>
      </w:r>
    </w:p>
    <w:p w14:paraId="571117A1">
      <w:pPr>
        <w:spacing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开展土壤污染识别调查：以资料收集、现场踏勘、周边污染影响分析及人员访谈为主。根据污染识别情况，作出是否需要开展初步采样分析调查的结论与建议。</w:t>
      </w:r>
    </w:p>
    <w:p w14:paraId="28E563D8">
      <w:pPr>
        <w:spacing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开展土壤污染状况初步采样分析调查：严格按照《拟开垦为耕地的复垦土地及未利用地土壤污染状况调查技术指南(试行)》要求，进行土壤样点采样、检测分析、其他环境介质采样调查等。</w:t>
      </w:r>
    </w:p>
    <w:p w14:paraId="7A00280B">
      <w:pPr>
        <w:spacing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综合评定：调查数据按照《土壤环境质量农用地土壤污染风险管控标准(试行)》(GB15618)、《土壤环境质量建设用地土壤污染风险管控标准(试行)》(GB36600)等标准执行。编制详细、真实全面介绍地块污染调查过程的报告并对调查结果进行科学评价，给出地块是否满足开垦要求的结论，并对不满足开垦要求的地块给出后续工作建议。</w:t>
      </w:r>
    </w:p>
    <w:p w14:paraId="53EBB5EB">
      <w:pPr>
        <w:spacing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初步采样分析：按照《关于印发《拟开垦为耕地的复垦土地及未利用地土壤污染状况调查技术指南（试行）》和《农用地重点地块监测技术指南（试行）》的通知》（苏农建【2023】1号）的要求，根据地块实际情况按需要开展初步采样分析工作。</w:t>
      </w:r>
    </w:p>
    <w:p w14:paraId="57A748F8">
      <w:pPr>
        <w:spacing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质量管理保障措施：按照规范、标准等要求，以及合理的质检流程，对项目每个环节的成果进行质量检查。</w:t>
      </w:r>
    </w:p>
    <w:p w14:paraId="3B546B51">
      <w:pPr>
        <w:spacing w:line="360" w:lineRule="auto"/>
        <w:ind w:firstLine="48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报告编制：调查报告应详细、真实并全面的介绍地块污染调查过程并对调查结果进行科学评价，给出结论与建议</w:t>
      </w:r>
      <w:r>
        <w:rPr>
          <w:rFonts w:hint="eastAsia" w:ascii="宋体" w:hAnsi="宋体" w:eastAsia="宋体" w:cs="宋体"/>
          <w:color w:val="auto"/>
          <w:kern w:val="0"/>
          <w:sz w:val="24"/>
          <w:szCs w:val="24"/>
          <w:highlight w:val="none"/>
          <w:lang w:eastAsia="zh-CN"/>
        </w:rPr>
        <w:t>。</w:t>
      </w:r>
    </w:p>
    <w:p w14:paraId="68046B42">
      <w:pPr>
        <w:spacing w:line="360" w:lineRule="auto"/>
        <w:ind w:firstLine="48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（二）</w:t>
      </w:r>
      <w:r>
        <w:rPr>
          <w:rFonts w:hint="eastAsia" w:ascii="Times New Roman" w:hAnsi="Times New Roman" w:eastAsia="宋体" w:cs="Times New Roman"/>
          <w:color w:val="auto"/>
          <w:kern w:val="0"/>
          <w:sz w:val="24"/>
          <w:szCs w:val="24"/>
          <w:highlight w:val="none"/>
        </w:rPr>
        <w:t>补充耕地质量评定</w:t>
      </w:r>
      <w:r>
        <w:rPr>
          <w:rFonts w:hint="eastAsia" w:ascii="Times New Roman" w:hAnsi="Times New Roman" w:eastAsia="宋体" w:cs="Times New Roman"/>
          <w:color w:val="auto"/>
          <w:kern w:val="0"/>
          <w:sz w:val="24"/>
          <w:szCs w:val="24"/>
          <w:highlight w:val="none"/>
          <w:lang w:eastAsia="zh-CN"/>
        </w:rPr>
        <w:t>：</w:t>
      </w:r>
    </w:p>
    <w:p w14:paraId="76FF1A34">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1、内业化工作：整理打印全套申请评定资料、根据省级相关要求开展系统数据填报录入工作、形成一套完整的验收资料等；</w:t>
      </w:r>
    </w:p>
    <w:p w14:paraId="4D64048B">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2、现场初步踏勘：每个踏勘小组由市级踏勘专家、建设方、现场调查人员、司机组成，中标单位提供车辆；</w:t>
      </w:r>
    </w:p>
    <w:p w14:paraId="7FBFE816">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3、土样采集：依照省补充耕地质量评定技术规程，每宗地、每种地类或者50亩至少取1个样，地形变化较大的取2个样。根据项目情况平均每个项目取样不少于2个。</w:t>
      </w:r>
    </w:p>
    <w:p w14:paraId="3CE16AA3">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4、土样样品检测：常规指标6个：pH值、有机质、全氮、有效磷、速效钾、缓效钾；重金属指标8个：镉、汞、砷、铅、铬、铜、锌、镍。</w:t>
      </w:r>
    </w:p>
    <w:p w14:paraId="52B01B0A">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5、评定会议：根据相关技术规范组织不少于5名省市级专家开展最终评定，形成最终评定报告。</w:t>
      </w:r>
    </w:p>
    <w:p w14:paraId="2821850B">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中标单位在市级专家踏勘前组织工作人员进行前期踏勘，要求不合格的地块进行整改，降低市级专家踏勘不合格率。如市级专家初次踏勘不合格，中标单位需承担第2次市级踏勘费用；初次土壤检测不合格，中标单位需承担第2次检测费用。</w:t>
      </w:r>
    </w:p>
    <w:p w14:paraId="5F448275">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7、项目开展期间中标企业需派驻包含1名项目负责人在内的不少于3人以上项目小组在</w:t>
      </w:r>
      <w:r>
        <w:rPr>
          <w:rFonts w:hint="eastAsia" w:ascii="宋体" w:hAnsi="宋体" w:eastAsia="宋体" w:cs="宋体"/>
          <w:color w:val="auto"/>
          <w:kern w:val="0"/>
          <w:sz w:val="24"/>
          <w:szCs w:val="24"/>
          <w:highlight w:val="none"/>
          <w:lang w:eastAsia="zh-CN"/>
        </w:rPr>
        <w:t>沭阳</w:t>
      </w:r>
      <w:r>
        <w:rPr>
          <w:rFonts w:hint="eastAsia" w:ascii="宋体" w:hAnsi="宋体" w:eastAsia="宋体" w:cs="宋体"/>
          <w:color w:val="auto"/>
          <w:kern w:val="0"/>
          <w:sz w:val="24"/>
          <w:szCs w:val="24"/>
          <w:highlight w:val="none"/>
        </w:rPr>
        <w:t>办公。</w:t>
      </w:r>
    </w:p>
    <w:p w14:paraId="516DA0B7">
      <w:pPr>
        <w:spacing w:before="120" w:after="120"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如有最新省级补充耕地质量评定技术要求，最终服务内容可依据最新要求进行调整。</w:t>
      </w:r>
    </w:p>
    <w:p w14:paraId="3BA49499">
      <w:pPr>
        <w:spacing w:before="120" w:after="120" w:line="360" w:lineRule="auto"/>
        <w:ind w:firstLine="480"/>
        <w:rPr>
          <w:rFonts w:hint="default" w:ascii="宋体" w:hAnsi="宋体" w:eastAsia="宋体" w:cs="宋体"/>
          <w:b/>
          <w:bCs/>
          <w:color w:val="auto"/>
          <w:kern w:val="0"/>
          <w:sz w:val="24"/>
          <w:szCs w:val="24"/>
          <w:highlight w:val="none"/>
        </w:rPr>
      </w:pPr>
      <w:r>
        <w:rPr>
          <w:rFonts w:hint="eastAsia" w:ascii="宋体" w:hAnsi="宋体" w:eastAsia="宋体" w:cs="宋体"/>
          <w:b/>
          <w:color w:val="auto"/>
          <w:kern w:val="0"/>
          <w:sz w:val="24"/>
          <w:szCs w:val="24"/>
          <w:highlight w:val="none"/>
          <w:lang w:eastAsia="zh-CN"/>
        </w:rPr>
        <w:t>四、</w:t>
      </w:r>
      <w:r>
        <w:rPr>
          <w:rFonts w:hint="eastAsia" w:ascii="宋体" w:hAnsi="宋体" w:eastAsia="宋体" w:cs="宋体"/>
          <w:b/>
          <w:color w:val="auto"/>
          <w:kern w:val="0"/>
          <w:sz w:val="24"/>
          <w:szCs w:val="24"/>
          <w:highlight w:val="none"/>
        </w:rPr>
        <w:t>验收标准及要求</w:t>
      </w:r>
    </w:p>
    <w:p w14:paraId="6A8E49AD">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1、验收标准：采购人按照国家规定标准验收，没有国家标准的按行业标准验收，无行业标准的按地方或企业标准验收。</w:t>
      </w:r>
    </w:p>
    <w:p w14:paraId="33994D37">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2、验收：采购人以采购文件、中标供应商的响应文件、合同为依据，成立验收小组，负责对项目进行全面的验收，中标人须向采购人提供详细的预验收方案。</w:t>
      </w:r>
    </w:p>
    <w:p w14:paraId="2BFFD1D0">
      <w:pPr>
        <w:spacing w:before="120" w:after="120" w:line="360" w:lineRule="auto"/>
        <w:ind w:firstLine="241"/>
        <w:rPr>
          <w:rFonts w:hint="default"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eastAsia="zh-CN"/>
        </w:rPr>
        <w:t>五、</w:t>
      </w:r>
      <w:r>
        <w:rPr>
          <w:rFonts w:hint="eastAsia" w:ascii="宋体" w:hAnsi="宋体" w:eastAsia="宋体" w:cs="宋体"/>
          <w:b/>
          <w:color w:val="auto"/>
          <w:kern w:val="0"/>
          <w:sz w:val="24"/>
          <w:szCs w:val="24"/>
          <w:highlight w:val="none"/>
        </w:rPr>
        <w:t>项目实施要求</w:t>
      </w:r>
    </w:p>
    <w:p w14:paraId="41E85FEF">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项目在实施过程中，为顺利完成项目，应严格按照项目管理的要求进行项目实施。</w:t>
      </w:r>
    </w:p>
    <w:p w14:paraId="146F98AF">
      <w:pPr>
        <w:spacing w:before="120" w:after="120" w:line="360" w:lineRule="auto"/>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根据项目整体安排科学性、合理性、可操作性，投标人需提供的项目实施方案，对工作进度紧凑合理安排、对人员安排及工作实施内容安排需切实可行。</w:t>
      </w:r>
    </w:p>
    <w:p w14:paraId="279267CB">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1、要有明晰的组织机构，项目实施人员齐全，岗位职责明确，能高标准的实施项目管理。配备项目负责人、技术负责人等。</w:t>
      </w:r>
    </w:p>
    <w:p w14:paraId="35DBF9DD">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2、在项目实施过程中，成交供应商要对项目人员及项目建设工作严格管理，项目实施负责人对工作进度、问题及下阶段工作计划，确保按时完成项目工作。</w:t>
      </w:r>
    </w:p>
    <w:p w14:paraId="7C1D71BA">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3、坚持科学的态度和实事求是的原则，确保信息数据的安全性，维护采购方合法权益。</w:t>
      </w:r>
    </w:p>
    <w:p w14:paraId="19E28494">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4、项目实施方案包括但不限于对项目的理解、技术方案、进度安排、质量保证措施、售后服务保证措施。若发生工期滞后和突发情况，应有应急管理办法。</w:t>
      </w:r>
    </w:p>
    <w:p w14:paraId="073488F4">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5、技术依据：为保证本项目实施的科学性、规范性和准确性，技术实施方案需要严格遵照国家有关法律、法规、规章制度以及国家和行业颁布的相关技术标准和规范。</w:t>
      </w:r>
    </w:p>
    <w:p w14:paraId="188CEB8A">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6、递交的成果内容必须符合招标文件的有关要求和国家有关标准。</w:t>
      </w:r>
    </w:p>
    <w:p w14:paraId="340D4330">
      <w:pPr>
        <w:spacing w:before="120" w:after="120"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7、在项目成果通过验收并实施过程中，按照项目实际需求，配合采购人进一步完善成果细节，以满足建设要求。</w:t>
      </w:r>
    </w:p>
    <w:p w14:paraId="3A5D5100">
      <w:pPr>
        <w:spacing w:before="120" w:after="120" w:line="360" w:lineRule="auto"/>
        <w:ind w:firstLine="480"/>
        <w:rPr>
          <w:rFonts w:hint="default"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eastAsia="zh-CN"/>
        </w:rPr>
        <w:t>六、</w:t>
      </w:r>
      <w:r>
        <w:rPr>
          <w:rFonts w:hint="eastAsia" w:ascii="宋体" w:hAnsi="宋体" w:eastAsia="宋体" w:cs="宋体"/>
          <w:b/>
          <w:color w:val="auto"/>
          <w:kern w:val="0"/>
          <w:sz w:val="24"/>
          <w:szCs w:val="24"/>
          <w:highlight w:val="none"/>
        </w:rPr>
        <w:t>注意事项</w:t>
      </w:r>
    </w:p>
    <w:p w14:paraId="5E9BEDEF">
      <w:pPr>
        <w:spacing w:before="120" w:after="120" w:line="360" w:lineRule="auto"/>
        <w:ind w:firstLine="48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1、报价内容包括:项目完成过程中的服务本身、人工费、服务费、税金以及交付使用过程中涉及到的其他一切费用。</w:t>
      </w:r>
    </w:p>
    <w:p w14:paraId="50825AD5">
      <w:pPr>
        <w:spacing w:before="120" w:after="120"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报价注意事项：供应商报价时应充分考虑所有可能影响到报价的因素，一旦评标结束最终成交，价格将包定，不予调整。如发生漏、缺、少项，都将被认为是成交人的报价让利行为，损失自负。最终结算数量以实际申报发生为准，投标人需综合考虑实际申报数量与计划申报数量有差距的风险，慎重报价。</w:t>
      </w:r>
    </w:p>
    <w:p w14:paraId="4C1076DD">
      <w:pPr>
        <w:spacing w:before="120" w:after="120" w:line="360" w:lineRule="auto"/>
        <w:ind w:firstLine="480"/>
        <w:rPr>
          <w:rFonts w:ascii="Times New Roman" w:eastAsia="黑体"/>
          <w:bCs/>
          <w:color w:val="auto"/>
          <w:sz w:val="4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最终结算价格不得超过预算价。中标单位在后期实施过程中需随时控制调查面积。超预算部分将视为中标单位让利行为，不予支付。</w:t>
      </w:r>
      <w:bookmarkStart w:id="205" w:name="_Toc120614281"/>
      <w:r>
        <w:rPr>
          <w:rFonts w:hint="eastAsia" w:ascii="Times New Roman" w:eastAsia="黑体"/>
          <w:bCs/>
          <w:color w:val="auto"/>
          <w:sz w:val="44"/>
          <w:highlight w:val="none"/>
        </w:rPr>
        <w:br w:type="page" w:clear="all"/>
      </w:r>
    </w:p>
    <w:p w14:paraId="6FBCCC46">
      <w:pPr>
        <w:pStyle w:val="183"/>
        <w:rPr>
          <w:rFonts w:ascii="Times New Roman" w:eastAsia="黑体"/>
          <w:bCs/>
          <w:color w:val="auto"/>
          <w:sz w:val="44"/>
          <w:highlight w:val="none"/>
        </w:rPr>
      </w:pPr>
      <w:r>
        <w:rPr>
          <w:rFonts w:hint="eastAsia" w:ascii="Times New Roman" w:eastAsia="黑体"/>
          <w:bCs/>
          <w:color w:val="auto"/>
          <w:sz w:val="44"/>
          <w:highlight w:val="none"/>
        </w:rPr>
        <w:t xml:space="preserve">第五章  </w:t>
      </w:r>
      <w:r>
        <w:rPr>
          <w:rFonts w:hint="eastAsia" w:ascii="Times New Roman" w:eastAsia="黑体"/>
          <w:b/>
          <w:bCs/>
          <w:color w:val="auto"/>
          <w:sz w:val="44"/>
          <w:highlight w:val="none"/>
        </w:rPr>
        <w:t>评标方法与评标标准</w:t>
      </w:r>
    </w:p>
    <w:p w14:paraId="17A4517B">
      <w:pPr>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rPr>
        <w:t>一、资格审查。</w:t>
      </w:r>
      <w:r>
        <w:rPr>
          <w:rFonts w:hint="eastAsia" w:ascii="宋体" w:hAnsi="宋体" w:eastAsia="宋体" w:cs="宋体"/>
          <w:color w:val="auto"/>
          <w:sz w:val="24"/>
          <w:highlight w:val="none"/>
        </w:rPr>
        <w:t>资格审查人员按照下列指标对各投标人的资格进行审查，未通过审查的为无效标，不参与评标。</w:t>
      </w:r>
    </w:p>
    <w:tbl>
      <w:tblPr>
        <w:tblStyle w:val="29"/>
        <w:tblW w:w="5009"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488"/>
        <w:gridCol w:w="4491"/>
      </w:tblGrid>
      <w:tr w14:paraId="36592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499" w:type="dxa"/>
            <w:noWrap w:val="0"/>
            <w:vAlign w:val="center"/>
          </w:tcPr>
          <w:p w14:paraId="4153D107">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资格审查因素</w:t>
            </w:r>
          </w:p>
        </w:tc>
        <w:tc>
          <w:tcPr>
            <w:tcW w:w="2500" w:type="dxa"/>
            <w:noWrap w:val="0"/>
            <w:vAlign w:val="center"/>
          </w:tcPr>
          <w:p w14:paraId="134B40E0">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审查标准</w:t>
            </w:r>
          </w:p>
        </w:tc>
      </w:tr>
      <w:tr w14:paraId="2A6D8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381" w:type="dxa"/>
            <w:noWrap w:val="0"/>
            <w:vAlign w:val="center"/>
          </w:tcPr>
          <w:p w14:paraId="3153B842">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投标声明及承诺函</w:t>
            </w:r>
          </w:p>
        </w:tc>
        <w:tc>
          <w:tcPr>
            <w:tcW w:w="4384" w:type="dxa"/>
            <w:noWrap w:val="0"/>
            <w:vAlign w:val="center"/>
          </w:tcPr>
          <w:p w14:paraId="57BD8B4E">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3CEA7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381" w:type="dxa"/>
            <w:noWrap w:val="0"/>
            <w:vAlign w:val="center"/>
          </w:tcPr>
          <w:p w14:paraId="16339955">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信用信息</w:t>
            </w:r>
          </w:p>
        </w:tc>
        <w:tc>
          <w:tcPr>
            <w:tcW w:w="4384" w:type="dxa"/>
            <w:noWrap w:val="0"/>
            <w:vAlign w:val="center"/>
          </w:tcPr>
          <w:p w14:paraId="606D32D2">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211CF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381" w:type="dxa"/>
            <w:noWrap w:val="0"/>
            <w:vAlign w:val="center"/>
          </w:tcPr>
          <w:p w14:paraId="50C97452">
            <w:pPr>
              <w:jc w:val="left"/>
              <w:rPr>
                <w:rFonts w:hint="default"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供应商资格要求</w:t>
            </w:r>
          </w:p>
        </w:tc>
        <w:tc>
          <w:tcPr>
            <w:tcW w:w="4384" w:type="dxa"/>
            <w:noWrap w:val="0"/>
            <w:vAlign w:val="center"/>
          </w:tcPr>
          <w:p w14:paraId="49E226F5">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07A79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381" w:type="dxa"/>
            <w:noWrap w:val="0"/>
            <w:vAlign w:val="center"/>
          </w:tcPr>
          <w:p w14:paraId="512F18FB">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联合体投标</w:t>
            </w:r>
          </w:p>
        </w:tc>
        <w:tc>
          <w:tcPr>
            <w:tcW w:w="4384" w:type="dxa"/>
            <w:noWrap w:val="0"/>
            <w:vAlign w:val="center"/>
          </w:tcPr>
          <w:p w14:paraId="4B79B0AE">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不接受联合体投标</w:t>
            </w:r>
          </w:p>
        </w:tc>
      </w:tr>
    </w:tbl>
    <w:p w14:paraId="6DD05F3C">
      <w:pPr>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rPr>
        <w:t>二、符合性审查。</w:t>
      </w:r>
      <w:r>
        <w:rPr>
          <w:rFonts w:hint="eastAsia" w:ascii="宋体" w:hAnsi="宋体" w:eastAsia="宋体" w:cs="宋体"/>
          <w:color w:val="auto"/>
          <w:sz w:val="24"/>
          <w:highlight w:val="none"/>
        </w:rPr>
        <w:t>评标委员会首先按照下列指标对各投标人的投标文件进行符合性审查，未通过审查的为无效标，不再参与评审。</w:t>
      </w:r>
    </w:p>
    <w:tbl>
      <w:tblPr>
        <w:tblStyle w:val="29"/>
        <w:tblW w:w="501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491"/>
        <w:gridCol w:w="4495"/>
      </w:tblGrid>
      <w:tr w14:paraId="658DD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377" w:type="dxa"/>
            <w:noWrap w:val="0"/>
            <w:vAlign w:val="center"/>
          </w:tcPr>
          <w:p w14:paraId="6E7052E5">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符合性审查因素</w:t>
            </w:r>
          </w:p>
        </w:tc>
        <w:tc>
          <w:tcPr>
            <w:tcW w:w="4380" w:type="dxa"/>
            <w:noWrap w:val="0"/>
            <w:vAlign w:val="center"/>
          </w:tcPr>
          <w:p w14:paraId="76DEA501">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审查标准</w:t>
            </w:r>
          </w:p>
        </w:tc>
      </w:tr>
      <w:tr w14:paraId="540B0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377" w:type="dxa"/>
            <w:noWrap w:val="0"/>
            <w:vAlign w:val="center"/>
          </w:tcPr>
          <w:p w14:paraId="5D8CA20F">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法定代表人身份证明或授权委托书</w:t>
            </w:r>
          </w:p>
        </w:tc>
        <w:tc>
          <w:tcPr>
            <w:tcW w:w="4380" w:type="dxa"/>
            <w:noWrap w:val="0"/>
            <w:vAlign w:val="center"/>
          </w:tcPr>
          <w:p w14:paraId="417BD353">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009CF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377" w:type="dxa"/>
            <w:noWrap w:val="0"/>
            <w:vAlign w:val="center"/>
          </w:tcPr>
          <w:p w14:paraId="0810392F">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技术标准和要求</w:t>
            </w:r>
          </w:p>
        </w:tc>
        <w:tc>
          <w:tcPr>
            <w:tcW w:w="4380" w:type="dxa"/>
            <w:noWrap w:val="0"/>
            <w:vAlign w:val="center"/>
          </w:tcPr>
          <w:p w14:paraId="4ECB444F">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1390A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377" w:type="dxa"/>
            <w:noWrap w:val="0"/>
            <w:vAlign w:val="center"/>
          </w:tcPr>
          <w:p w14:paraId="6FCD82A7">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其他</w:t>
            </w:r>
          </w:p>
        </w:tc>
        <w:tc>
          <w:tcPr>
            <w:tcW w:w="4380" w:type="dxa"/>
            <w:noWrap w:val="0"/>
            <w:vAlign w:val="center"/>
          </w:tcPr>
          <w:p w14:paraId="1A456F08">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bl>
    <w:p w14:paraId="467E9168">
      <w:pPr>
        <w:spacing w:line="50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t>三、评分办法—综合评分法</w:t>
      </w:r>
    </w:p>
    <w:p w14:paraId="1FCFC475">
      <w:pPr>
        <w:spacing w:line="500" w:lineRule="exact"/>
        <w:ind w:firstLine="241"/>
        <w:rPr>
          <w:rFonts w:hint="eastAsia" w:ascii="宋体" w:hAnsi="宋体" w:eastAsia="宋体" w:cs="宋体"/>
          <w:color w:val="auto"/>
          <w:sz w:val="24"/>
          <w:highlight w:val="none"/>
        </w:rPr>
      </w:pPr>
      <w:r>
        <w:rPr>
          <w:rFonts w:hint="eastAsia" w:ascii="宋体" w:hAnsi="宋体" w:eastAsia="宋体" w:cs="宋体"/>
          <w:b/>
          <w:color w:val="auto"/>
          <w:sz w:val="24"/>
          <w:highlight w:val="none"/>
        </w:rPr>
        <w:t>（一）评标办法：</w:t>
      </w:r>
      <w:r>
        <w:rPr>
          <w:rFonts w:hint="eastAsia" w:ascii="宋体" w:hAnsi="宋体" w:eastAsia="宋体" w:cs="宋体"/>
          <w:color w:val="auto"/>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w:t>
      </w:r>
      <w:r>
        <w:rPr>
          <w:rFonts w:hint="eastAsia" w:ascii="Times New Roman" w:hAnsi="Times New Roman" w:eastAsia="宋体" w:cs="Times New Roman"/>
          <w:color w:val="auto"/>
          <w:sz w:val="24"/>
          <w:highlight w:val="none"/>
        </w:rPr>
        <w:t>得分且投标报价相同的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按技术方案得分由高到低排序；得分、投标报价且技术方案得分相同的由采购人确定。</w:t>
      </w:r>
      <w:r>
        <w:rPr>
          <w:rFonts w:hint="eastAsia" w:ascii="宋体" w:hAnsi="宋体" w:eastAsia="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424119B8">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 </w:t>
      </w:r>
    </w:p>
    <w:p w14:paraId="5B303C9A">
      <w:pPr>
        <w:numPr>
          <w:ilvl w:val="0"/>
          <w:numId w:val="7"/>
        </w:numPr>
        <w:spacing w:line="500" w:lineRule="exact"/>
        <w:ind w:firstLine="241"/>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详细评审。</w:t>
      </w:r>
      <w:r>
        <w:rPr>
          <w:rFonts w:hint="eastAsia" w:ascii="宋体" w:hAnsi="宋体" w:eastAsia="宋体" w:cs="宋体"/>
          <w:color w:val="auto"/>
          <w:sz w:val="24"/>
          <w:highlight w:val="none"/>
        </w:rPr>
        <w:t>评标委员会按照招标文件规定的评分标准，对各投标文件进行详细评审打分。评标委员会组长对各评审专家的打分情况进行复核无误后汇总，形成评审报告。</w:t>
      </w:r>
    </w:p>
    <w:tbl>
      <w:tblPr>
        <w:tblStyle w:val="29"/>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1994"/>
        <w:gridCol w:w="1597"/>
        <w:gridCol w:w="899"/>
        <w:gridCol w:w="4493"/>
      </w:tblGrid>
      <w:tr w14:paraId="68D3EA6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99" w:type="pct"/>
            <w:gridSpan w:val="2"/>
            <w:tcBorders>
              <w:top w:val="single" w:color="auto" w:sz="6" w:space="0"/>
              <w:left w:val="single" w:color="auto" w:sz="6" w:space="0"/>
              <w:bottom w:val="single" w:color="auto" w:sz="6" w:space="0"/>
              <w:right w:val="single" w:color="auto" w:sz="6" w:space="0"/>
            </w:tcBorders>
            <w:noWrap w:val="0"/>
            <w:vAlign w:val="center"/>
          </w:tcPr>
          <w:p w14:paraId="0E6E5CAB">
            <w:pPr>
              <w:jc w:val="center"/>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评审因素</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7F7349CE">
            <w:pPr>
              <w:jc w:val="center"/>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分数</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3C12ECC8">
            <w:pPr>
              <w:jc w:val="center"/>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评审标准</w:t>
            </w:r>
          </w:p>
        </w:tc>
      </w:tr>
      <w:tr w14:paraId="321B98B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050762A4">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报价分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3959C7D">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投标报价</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49823AE7">
            <w:pPr>
              <w:jc w:val="left"/>
              <w:rPr>
                <w:rFonts w:hint="default" w:ascii="Times New Roman" w:hAnsi="Times New Roman" w:eastAsia="宋体" w:cs="Times New Roman"/>
                <w:color w:val="auto"/>
                <w:szCs w:val="22"/>
                <w:highlight w:val="none"/>
              </w:rPr>
            </w:pPr>
            <w:r>
              <w:rPr>
                <w:rFonts w:hint="eastAsia" w:cs="Times New Roman"/>
                <w:color w:val="auto"/>
                <w:szCs w:val="22"/>
                <w:highlight w:val="none"/>
                <w:lang w:val="en-US" w:eastAsia="zh-CN"/>
              </w:rPr>
              <w:t>30</w:t>
            </w:r>
            <w:r>
              <w:rPr>
                <w:rFonts w:hint="default" w:ascii="Times New Roman" w:hAnsi="Times New Roman" w:eastAsia="宋体" w:cs="Times New Roman"/>
                <w:color w:val="auto"/>
                <w:szCs w:val="22"/>
                <w:highlight w:val="none"/>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4163364C">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采用低价优先法计算，即满足</w:t>
            </w:r>
            <w:r>
              <w:rPr>
                <w:rFonts w:hint="eastAsia" w:cs="Times New Roman"/>
                <w:color w:val="auto"/>
                <w:szCs w:val="22"/>
                <w:highlight w:val="none"/>
                <w:lang w:eastAsia="zh-CN"/>
              </w:rPr>
              <w:t>招标</w:t>
            </w:r>
            <w:r>
              <w:rPr>
                <w:rFonts w:hint="default" w:ascii="Times New Roman" w:hAnsi="Times New Roman" w:eastAsia="宋体" w:cs="Times New Roman"/>
                <w:color w:val="auto"/>
                <w:szCs w:val="22"/>
                <w:highlight w:val="none"/>
              </w:rPr>
              <w:t>文件要求且最终报价最低的报价为评标基准价，其价格分为满分。其他供应商报价得分＝（评标基准价/其他供应商最终报价）*</w:t>
            </w:r>
            <w:r>
              <w:rPr>
                <w:rFonts w:hint="eastAsia" w:cs="Times New Roman"/>
                <w:color w:val="auto"/>
                <w:szCs w:val="22"/>
                <w:highlight w:val="none"/>
                <w:lang w:val="en-US" w:eastAsia="zh-CN"/>
              </w:rPr>
              <w:t>30</w:t>
            </w:r>
            <w:r>
              <w:rPr>
                <w:rFonts w:hint="default" w:ascii="Times New Roman" w:hAnsi="Times New Roman" w:eastAsia="宋体" w:cs="Times New Roman"/>
                <w:color w:val="auto"/>
                <w:szCs w:val="22"/>
                <w:highlight w:val="none"/>
              </w:rPr>
              <w:t>。</w:t>
            </w:r>
          </w:p>
        </w:tc>
      </w:tr>
      <w:tr w14:paraId="6AD3234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right w:val="single" w:color="auto" w:sz="6" w:space="0"/>
            </w:tcBorders>
            <w:noWrap w:val="0"/>
            <w:vAlign w:val="center"/>
          </w:tcPr>
          <w:p w14:paraId="4443D0EE">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企业经营业绩、信誉</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9004996">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企业业绩</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2E7308F1">
            <w:pPr>
              <w:jc w:val="left"/>
              <w:rPr>
                <w:rFonts w:hint="default" w:ascii="Times New Roman" w:hAnsi="Times New Roman" w:eastAsia="宋体" w:cs="Times New Roman"/>
                <w:color w:val="auto"/>
                <w:szCs w:val="22"/>
                <w:highlight w:val="none"/>
              </w:rPr>
            </w:pPr>
            <w:r>
              <w:rPr>
                <w:rFonts w:hint="eastAsia" w:cs="Times New Roman"/>
                <w:color w:val="auto"/>
                <w:szCs w:val="22"/>
                <w:highlight w:val="none"/>
                <w:lang w:val="en-US" w:eastAsia="zh-CN"/>
              </w:rPr>
              <w:t>6</w:t>
            </w:r>
            <w:r>
              <w:rPr>
                <w:rFonts w:hint="default" w:ascii="Times New Roman" w:hAnsi="Times New Roman" w:eastAsia="宋体" w:cs="Times New Roman"/>
                <w:color w:val="auto"/>
                <w:szCs w:val="22"/>
                <w:highlight w:val="none"/>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3C1A86B4">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供应商自2023年1月1日（以合同签订时间为准）以来，具备类似的普查调查工作经验（如新增耕地污染状况调查、耕地质量补充评定调查、土壤普查</w:t>
            </w:r>
            <w:r>
              <w:rPr>
                <w:rFonts w:hint="eastAsia" w:cs="Times New Roman"/>
                <w:color w:val="auto"/>
                <w:szCs w:val="22"/>
                <w:highlight w:val="none"/>
                <w:lang w:eastAsia="zh-CN"/>
              </w:rPr>
              <w:t>调查</w:t>
            </w:r>
            <w:r>
              <w:rPr>
                <w:rFonts w:hint="eastAsia" w:ascii="Times New Roman" w:hAnsi="Times New Roman" w:eastAsia="宋体" w:cs="Times New Roman"/>
                <w:color w:val="auto"/>
                <w:szCs w:val="22"/>
                <w:highlight w:val="none"/>
              </w:rPr>
              <w:t>等），每提供一项得2分，最高得</w:t>
            </w:r>
            <w:r>
              <w:rPr>
                <w:rFonts w:hint="eastAsia" w:cs="Times New Roman"/>
                <w:color w:val="auto"/>
                <w:szCs w:val="22"/>
                <w:highlight w:val="none"/>
                <w:lang w:val="en-US" w:eastAsia="zh-CN"/>
              </w:rPr>
              <w:t>6</w:t>
            </w:r>
            <w:r>
              <w:rPr>
                <w:rFonts w:hint="eastAsia" w:ascii="Times New Roman" w:hAnsi="Times New Roman" w:eastAsia="宋体" w:cs="Times New Roman"/>
                <w:color w:val="auto"/>
                <w:szCs w:val="22"/>
                <w:highlight w:val="none"/>
              </w:rPr>
              <w:t>分。</w:t>
            </w:r>
          </w:p>
          <w:p w14:paraId="7DBF1757">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注：1、须提供中标通知书与业绩合同原件扫描件，否则该业绩不得分，</w:t>
            </w:r>
            <w:r>
              <w:rPr>
                <w:rFonts w:hint="default" w:ascii="Times New Roman" w:hAnsi="Times New Roman" w:eastAsia="宋体" w:cs="Times New Roman"/>
                <w:color w:val="auto"/>
                <w:szCs w:val="21"/>
                <w:highlight w:val="none"/>
              </w:rPr>
              <w:t>业绩材料要明确反映</w:t>
            </w:r>
            <w:r>
              <w:rPr>
                <w:rFonts w:hint="eastAsia" w:ascii="Times New Roman" w:hAnsi="Times New Roman" w:eastAsia="宋体" w:cs="Times New Roman"/>
                <w:color w:val="auto"/>
                <w:szCs w:val="21"/>
                <w:highlight w:val="none"/>
              </w:rPr>
              <w:t>投标供应商</w:t>
            </w:r>
            <w:r>
              <w:rPr>
                <w:rFonts w:hint="default" w:ascii="Times New Roman" w:hAnsi="Times New Roman" w:eastAsia="宋体" w:cs="Times New Roman"/>
                <w:color w:val="auto"/>
                <w:szCs w:val="21"/>
                <w:highlight w:val="none"/>
              </w:rPr>
              <w:t>名称、项目名称等，否则不予计分。2、</w:t>
            </w:r>
            <w:r>
              <w:rPr>
                <w:rFonts w:hint="eastAsia" w:ascii="Times New Roman" w:hAnsi="Times New Roman" w:eastAsia="宋体" w:cs="Times New Roman"/>
                <w:color w:val="auto"/>
                <w:szCs w:val="21"/>
                <w:highlight w:val="none"/>
              </w:rPr>
              <w:t>成交</w:t>
            </w:r>
            <w:r>
              <w:rPr>
                <w:rFonts w:hint="default" w:ascii="Times New Roman" w:hAnsi="Times New Roman" w:eastAsia="宋体" w:cs="Times New Roman"/>
                <w:color w:val="auto"/>
                <w:szCs w:val="21"/>
                <w:highlight w:val="none"/>
              </w:rPr>
              <w:t>人提供的业绩材料随</w:t>
            </w:r>
            <w:r>
              <w:rPr>
                <w:rFonts w:hint="eastAsia" w:ascii="Times New Roman" w:hAnsi="Times New Roman" w:eastAsia="宋体" w:cs="Times New Roman"/>
                <w:color w:val="auto"/>
                <w:szCs w:val="21"/>
                <w:highlight w:val="none"/>
              </w:rPr>
              <w:t>成交</w:t>
            </w:r>
            <w:r>
              <w:rPr>
                <w:rFonts w:hint="default" w:ascii="Times New Roman" w:hAnsi="Times New Roman" w:eastAsia="宋体" w:cs="Times New Roman"/>
                <w:color w:val="auto"/>
                <w:szCs w:val="21"/>
                <w:highlight w:val="none"/>
              </w:rPr>
              <w:t>结果同步公告。</w:t>
            </w:r>
          </w:p>
        </w:tc>
      </w:tr>
      <w:tr w14:paraId="66F0160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bottom w:val="single" w:color="auto" w:sz="6" w:space="0"/>
              <w:right w:val="single" w:color="auto" w:sz="6" w:space="0"/>
            </w:tcBorders>
            <w:noWrap w:val="0"/>
            <w:vAlign w:val="center"/>
          </w:tcPr>
          <w:p w14:paraId="111E20F8">
            <w:pPr>
              <w:jc w:val="left"/>
              <w:rPr>
                <w:rFonts w:hint="default" w:ascii="Times New Roman" w:hAnsi="Times New Roman" w:eastAsia="宋体" w:cs="Times New Roman"/>
                <w:color w:val="auto"/>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07D10566">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企业技术能力</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376B35B1">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3</w:t>
            </w:r>
            <w:r>
              <w:rPr>
                <w:rFonts w:hint="default" w:ascii="Times New Roman" w:hAnsi="Times New Roman" w:eastAsia="宋体" w:cs="Times New Roman"/>
                <w:color w:val="auto"/>
                <w:szCs w:val="22"/>
                <w:highlight w:val="none"/>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74DFB255">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供应商具有与污染调查</w:t>
            </w:r>
            <w:r>
              <w:rPr>
                <w:rFonts w:hint="eastAsia" w:ascii="Times New Roman" w:hAnsi="Calibri" w:eastAsia="宋体" w:cs="Times New Roman"/>
                <w:color w:val="auto"/>
                <w:szCs w:val="22"/>
                <w:highlight w:val="none"/>
              </w:rPr>
              <w:t>、</w:t>
            </w:r>
            <w:r>
              <w:rPr>
                <w:rFonts w:hint="eastAsia" w:ascii="Times New Roman" w:hAnsi="Times New Roman" w:eastAsia="宋体" w:cs="Times New Roman"/>
                <w:color w:val="auto"/>
                <w:szCs w:val="22"/>
                <w:highlight w:val="none"/>
              </w:rPr>
              <w:t>土壤调查、土壤检测、</w:t>
            </w:r>
            <w:r>
              <w:rPr>
                <w:rFonts w:hint="eastAsia" w:ascii="Times New Roman" w:hAnsi="Calibri" w:eastAsia="宋体" w:cs="Times New Roman"/>
                <w:color w:val="auto"/>
                <w:szCs w:val="22"/>
                <w:highlight w:val="none"/>
              </w:rPr>
              <w:t>补充耕地质量评定</w:t>
            </w:r>
            <w:r>
              <w:rPr>
                <w:rFonts w:hint="eastAsia" w:ascii="Times New Roman" w:hAnsi="Times New Roman" w:eastAsia="宋体" w:cs="Times New Roman"/>
                <w:color w:val="auto"/>
                <w:szCs w:val="22"/>
                <w:highlight w:val="none"/>
              </w:rPr>
              <w:t>、土壤质量评价相关的软件著作权或专利的，每提供一项得1.5分，最高得3分。（提供软件著作权登记证书原件扫描件或专利原件扫描件）</w:t>
            </w:r>
          </w:p>
          <w:p w14:paraId="725B030C">
            <w:pPr>
              <w:jc w:val="left"/>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2"/>
                <w:highlight w:val="none"/>
              </w:rPr>
              <w:t>注：1、</w:t>
            </w:r>
            <w:r>
              <w:rPr>
                <w:rFonts w:hint="eastAsia" w:ascii="Times New Roman" w:hAnsi="Times New Roman" w:eastAsia="宋体" w:cs="Times New Roman"/>
                <w:color w:val="auto"/>
                <w:szCs w:val="21"/>
                <w:highlight w:val="none"/>
              </w:rPr>
              <w:t>响应</w:t>
            </w:r>
            <w:r>
              <w:rPr>
                <w:rFonts w:hint="default" w:ascii="Times New Roman" w:hAnsi="Times New Roman" w:eastAsia="宋体" w:cs="Times New Roman"/>
                <w:color w:val="auto"/>
                <w:szCs w:val="21"/>
                <w:highlight w:val="none"/>
              </w:rPr>
              <w:t>文件中上传有效期内的证书原件扫描件</w:t>
            </w:r>
            <w:r>
              <w:rPr>
                <w:rFonts w:hint="eastAsia" w:ascii="Times New Roman" w:hAnsi="Times New Roman" w:eastAsia="宋体" w:cs="Times New Roman"/>
                <w:color w:val="auto"/>
                <w:szCs w:val="22"/>
                <w:highlight w:val="none"/>
              </w:rPr>
              <w:t>，未提供原件扫描件或提供的扫描件模糊不清无法辨认的不得分。2、</w:t>
            </w:r>
            <w:r>
              <w:rPr>
                <w:rFonts w:hint="eastAsia" w:ascii="Times New Roman" w:hAnsi="Times New Roman" w:eastAsia="宋体" w:cs="Times New Roman"/>
                <w:color w:val="auto"/>
                <w:szCs w:val="21"/>
                <w:highlight w:val="none"/>
              </w:rPr>
              <w:t>成交</w:t>
            </w:r>
            <w:r>
              <w:rPr>
                <w:rFonts w:hint="default" w:ascii="Times New Roman" w:hAnsi="Times New Roman" w:eastAsia="宋体" w:cs="Times New Roman"/>
                <w:color w:val="auto"/>
                <w:szCs w:val="21"/>
                <w:highlight w:val="none"/>
              </w:rPr>
              <w:t>人提供的证书材料随</w:t>
            </w:r>
            <w:r>
              <w:rPr>
                <w:rFonts w:hint="eastAsia" w:ascii="Times New Roman" w:hAnsi="Times New Roman" w:eastAsia="宋体" w:cs="Times New Roman"/>
                <w:color w:val="auto"/>
                <w:szCs w:val="21"/>
                <w:highlight w:val="none"/>
              </w:rPr>
              <w:t>成交</w:t>
            </w:r>
            <w:r>
              <w:rPr>
                <w:rFonts w:hint="default" w:ascii="Times New Roman" w:hAnsi="Times New Roman" w:eastAsia="宋体" w:cs="Times New Roman"/>
                <w:color w:val="auto"/>
                <w:szCs w:val="21"/>
                <w:highlight w:val="none"/>
              </w:rPr>
              <w:t>结果同步公告。</w:t>
            </w:r>
          </w:p>
        </w:tc>
      </w:tr>
      <w:tr w14:paraId="55CAA5D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right w:val="single" w:color="auto" w:sz="6" w:space="0"/>
            </w:tcBorders>
            <w:noWrap w:val="0"/>
            <w:vAlign w:val="center"/>
          </w:tcPr>
          <w:p w14:paraId="73495AE1">
            <w:pPr>
              <w:jc w:val="left"/>
              <w:rPr>
                <w:rFonts w:hint="default" w:ascii="Times New Roman" w:hAnsi="Times New Roman" w:eastAsia="宋体" w:cs="Times New Roman"/>
                <w:color w:val="auto"/>
                <w:szCs w:val="22"/>
                <w:highlight w:val="none"/>
              </w:rPr>
            </w:pPr>
          </w:p>
          <w:p w14:paraId="66AC8EE0">
            <w:pPr>
              <w:jc w:val="left"/>
              <w:rPr>
                <w:rFonts w:hint="default" w:ascii="Times New Roman" w:hAnsi="Times New Roman" w:eastAsia="宋体" w:cs="Times New Roman"/>
                <w:color w:val="auto"/>
                <w:szCs w:val="22"/>
                <w:highlight w:val="none"/>
              </w:rPr>
            </w:pPr>
          </w:p>
          <w:p w14:paraId="66AACE1A">
            <w:pPr>
              <w:jc w:val="left"/>
              <w:rPr>
                <w:rFonts w:hint="default" w:ascii="Times New Roman" w:hAnsi="Times New Roman" w:eastAsia="宋体" w:cs="Times New Roman"/>
                <w:color w:val="auto"/>
                <w:szCs w:val="22"/>
                <w:highlight w:val="none"/>
              </w:rPr>
            </w:pPr>
          </w:p>
          <w:p w14:paraId="2F477B4A">
            <w:pPr>
              <w:jc w:val="left"/>
              <w:rPr>
                <w:rFonts w:hint="default" w:ascii="Times New Roman" w:hAnsi="Times New Roman" w:eastAsia="宋体" w:cs="Times New Roman"/>
                <w:color w:val="auto"/>
                <w:szCs w:val="22"/>
                <w:highlight w:val="none"/>
              </w:rPr>
            </w:pPr>
          </w:p>
          <w:p w14:paraId="12FE92F6">
            <w:pPr>
              <w:jc w:val="left"/>
              <w:rPr>
                <w:rFonts w:hint="default" w:ascii="Times New Roman" w:hAnsi="Times New Roman" w:eastAsia="宋体" w:cs="Times New Roman"/>
                <w:color w:val="auto"/>
                <w:szCs w:val="22"/>
                <w:highlight w:val="none"/>
              </w:rPr>
            </w:pPr>
          </w:p>
          <w:p w14:paraId="7A776B33">
            <w:pPr>
              <w:jc w:val="left"/>
              <w:rPr>
                <w:rFonts w:hint="default" w:ascii="Times New Roman" w:hAnsi="Times New Roman" w:eastAsia="宋体" w:cs="Times New Roman"/>
                <w:color w:val="auto"/>
                <w:szCs w:val="22"/>
                <w:highlight w:val="none"/>
              </w:rPr>
            </w:pPr>
          </w:p>
          <w:p w14:paraId="4D5A4CE3">
            <w:pPr>
              <w:jc w:val="left"/>
              <w:rPr>
                <w:rFonts w:hint="default" w:ascii="Times New Roman" w:hAnsi="Times New Roman" w:eastAsia="宋体" w:cs="Times New Roman"/>
                <w:color w:val="auto"/>
                <w:szCs w:val="22"/>
                <w:highlight w:val="none"/>
              </w:rPr>
            </w:pPr>
          </w:p>
          <w:p w14:paraId="63D696CD">
            <w:pPr>
              <w:jc w:val="left"/>
              <w:rPr>
                <w:rFonts w:hint="default" w:ascii="Times New Roman" w:hAnsi="Times New Roman" w:eastAsia="宋体" w:cs="Times New Roman"/>
                <w:color w:val="auto"/>
                <w:szCs w:val="22"/>
                <w:highlight w:val="none"/>
              </w:rPr>
            </w:pPr>
          </w:p>
          <w:p w14:paraId="76F25861">
            <w:pPr>
              <w:jc w:val="left"/>
              <w:rPr>
                <w:rFonts w:hint="default" w:ascii="Times New Roman" w:hAnsi="Times New Roman" w:eastAsia="宋体" w:cs="Times New Roman"/>
                <w:color w:val="auto"/>
                <w:szCs w:val="22"/>
                <w:highlight w:val="none"/>
              </w:rPr>
            </w:pPr>
          </w:p>
          <w:p w14:paraId="3762721E">
            <w:pPr>
              <w:jc w:val="left"/>
              <w:rPr>
                <w:rFonts w:hint="default" w:ascii="Times New Roman" w:hAnsi="Times New Roman" w:eastAsia="宋体" w:cs="Times New Roman"/>
                <w:color w:val="auto"/>
                <w:szCs w:val="22"/>
                <w:highlight w:val="none"/>
              </w:rPr>
            </w:pPr>
          </w:p>
          <w:p w14:paraId="76AC99BF">
            <w:pPr>
              <w:jc w:val="left"/>
              <w:rPr>
                <w:rFonts w:hint="default" w:ascii="Times New Roman" w:hAnsi="Times New Roman" w:eastAsia="宋体" w:cs="Times New Roman"/>
                <w:color w:val="auto"/>
                <w:szCs w:val="22"/>
                <w:highlight w:val="none"/>
              </w:rPr>
            </w:pPr>
          </w:p>
          <w:p w14:paraId="56249A4F">
            <w:pPr>
              <w:jc w:val="left"/>
              <w:rPr>
                <w:rFonts w:hint="default" w:ascii="Times New Roman" w:hAnsi="Times New Roman" w:eastAsia="宋体" w:cs="Times New Roman"/>
                <w:color w:val="auto"/>
                <w:szCs w:val="22"/>
                <w:highlight w:val="none"/>
              </w:rPr>
            </w:pPr>
          </w:p>
          <w:p w14:paraId="50D07827">
            <w:pPr>
              <w:jc w:val="left"/>
              <w:rPr>
                <w:rFonts w:hint="default" w:ascii="Times New Roman" w:hAnsi="Times New Roman" w:eastAsia="宋体" w:cs="Times New Roman"/>
                <w:color w:val="auto"/>
                <w:szCs w:val="22"/>
                <w:highlight w:val="none"/>
              </w:rPr>
            </w:pPr>
          </w:p>
          <w:p w14:paraId="54EA74E5">
            <w:pPr>
              <w:jc w:val="left"/>
              <w:rPr>
                <w:rFonts w:hint="default" w:ascii="Times New Roman" w:hAnsi="Times New Roman" w:eastAsia="宋体" w:cs="Times New Roman"/>
                <w:color w:val="auto"/>
                <w:szCs w:val="22"/>
                <w:highlight w:val="none"/>
              </w:rPr>
            </w:pPr>
          </w:p>
          <w:p w14:paraId="3F844AAA">
            <w:pPr>
              <w:jc w:val="left"/>
              <w:rPr>
                <w:rFonts w:hint="default" w:ascii="Times New Roman" w:hAnsi="Times New Roman" w:eastAsia="宋体" w:cs="Times New Roman"/>
                <w:color w:val="auto"/>
                <w:szCs w:val="22"/>
                <w:highlight w:val="none"/>
              </w:rPr>
            </w:pPr>
          </w:p>
          <w:p w14:paraId="211A1B05">
            <w:pPr>
              <w:jc w:val="left"/>
              <w:rPr>
                <w:rFonts w:hint="default" w:ascii="Times New Roman" w:hAnsi="Times New Roman" w:eastAsia="宋体" w:cs="Times New Roman"/>
                <w:color w:val="auto"/>
                <w:szCs w:val="22"/>
                <w:highlight w:val="none"/>
              </w:rPr>
            </w:pPr>
          </w:p>
          <w:p w14:paraId="2A5DDDCF">
            <w:pPr>
              <w:jc w:val="left"/>
              <w:rPr>
                <w:rFonts w:hint="default" w:ascii="Times New Roman" w:hAnsi="Times New Roman" w:eastAsia="宋体" w:cs="Times New Roman"/>
                <w:color w:val="auto"/>
                <w:szCs w:val="22"/>
                <w:highlight w:val="none"/>
              </w:rPr>
            </w:pPr>
          </w:p>
          <w:p w14:paraId="4380BBE3">
            <w:pPr>
              <w:jc w:val="left"/>
              <w:rPr>
                <w:rFonts w:hint="default" w:ascii="Times New Roman" w:hAnsi="Times New Roman" w:eastAsia="宋体" w:cs="Times New Roman"/>
                <w:color w:val="auto"/>
                <w:szCs w:val="22"/>
                <w:highlight w:val="none"/>
              </w:rPr>
            </w:pPr>
          </w:p>
          <w:p w14:paraId="0398F6D5">
            <w:pPr>
              <w:jc w:val="left"/>
              <w:rPr>
                <w:rFonts w:hint="default" w:ascii="Times New Roman" w:hAnsi="Times New Roman" w:eastAsia="宋体" w:cs="Times New Roman"/>
                <w:color w:val="auto"/>
                <w:szCs w:val="22"/>
                <w:highlight w:val="none"/>
              </w:rPr>
            </w:pPr>
          </w:p>
          <w:p w14:paraId="628A653E">
            <w:pPr>
              <w:jc w:val="left"/>
              <w:rPr>
                <w:rFonts w:hint="default" w:ascii="Times New Roman" w:hAnsi="Times New Roman" w:eastAsia="宋体" w:cs="Times New Roman"/>
                <w:color w:val="auto"/>
                <w:szCs w:val="22"/>
                <w:highlight w:val="none"/>
              </w:rPr>
            </w:pPr>
          </w:p>
          <w:p w14:paraId="7A24AB88">
            <w:pPr>
              <w:jc w:val="left"/>
              <w:rPr>
                <w:rFonts w:hint="default" w:ascii="Times New Roman" w:hAnsi="Times New Roman" w:eastAsia="宋体" w:cs="Times New Roman"/>
                <w:color w:val="auto"/>
                <w:szCs w:val="22"/>
                <w:highlight w:val="none"/>
              </w:rPr>
            </w:pPr>
          </w:p>
          <w:p w14:paraId="79BB5B82">
            <w:pPr>
              <w:jc w:val="left"/>
              <w:rPr>
                <w:rFonts w:hint="default" w:ascii="Times New Roman" w:hAnsi="Times New Roman" w:eastAsia="宋体" w:cs="Times New Roman"/>
                <w:color w:val="auto"/>
                <w:szCs w:val="22"/>
                <w:highlight w:val="none"/>
              </w:rPr>
            </w:pPr>
          </w:p>
          <w:p w14:paraId="206D71E2">
            <w:pPr>
              <w:jc w:val="left"/>
              <w:rPr>
                <w:rFonts w:hint="default" w:ascii="Times New Roman" w:hAnsi="Times New Roman" w:eastAsia="宋体" w:cs="Times New Roman"/>
                <w:color w:val="auto"/>
                <w:szCs w:val="22"/>
                <w:highlight w:val="none"/>
              </w:rPr>
            </w:pPr>
          </w:p>
          <w:p w14:paraId="7DA6A6E4">
            <w:pPr>
              <w:jc w:val="left"/>
              <w:rPr>
                <w:rFonts w:hint="default" w:ascii="Times New Roman" w:hAnsi="Times New Roman" w:eastAsia="宋体" w:cs="Times New Roman"/>
                <w:color w:val="auto"/>
                <w:szCs w:val="22"/>
                <w:highlight w:val="none"/>
              </w:rPr>
            </w:pPr>
          </w:p>
          <w:p w14:paraId="0796322C">
            <w:pPr>
              <w:jc w:val="left"/>
              <w:rPr>
                <w:rFonts w:hint="default" w:ascii="Times New Roman" w:hAnsi="Times New Roman" w:eastAsia="宋体" w:cs="Times New Roman"/>
                <w:color w:val="auto"/>
                <w:szCs w:val="22"/>
                <w:highlight w:val="none"/>
              </w:rPr>
            </w:pPr>
          </w:p>
          <w:p w14:paraId="71B3D11A">
            <w:pPr>
              <w:jc w:val="left"/>
              <w:rPr>
                <w:rFonts w:hint="default" w:ascii="Times New Roman" w:hAnsi="Times New Roman" w:eastAsia="宋体" w:cs="Times New Roman"/>
                <w:color w:val="auto"/>
                <w:szCs w:val="22"/>
                <w:highlight w:val="none"/>
              </w:rPr>
            </w:pPr>
          </w:p>
          <w:p w14:paraId="3B96035C">
            <w:pPr>
              <w:jc w:val="left"/>
              <w:rPr>
                <w:rFonts w:hint="default" w:ascii="Times New Roman" w:hAnsi="Times New Roman" w:eastAsia="宋体" w:cs="Times New Roman"/>
                <w:color w:val="auto"/>
                <w:szCs w:val="22"/>
                <w:highlight w:val="none"/>
              </w:rPr>
            </w:pPr>
          </w:p>
          <w:p w14:paraId="53A0A4A1">
            <w:pPr>
              <w:jc w:val="left"/>
              <w:rPr>
                <w:rFonts w:hint="default" w:ascii="Times New Roman" w:hAnsi="Times New Roman" w:eastAsia="宋体" w:cs="Times New Roman"/>
                <w:color w:val="auto"/>
                <w:szCs w:val="22"/>
                <w:highlight w:val="none"/>
              </w:rPr>
            </w:pPr>
          </w:p>
          <w:p w14:paraId="357F385B">
            <w:pPr>
              <w:jc w:val="left"/>
              <w:rPr>
                <w:rFonts w:hint="default" w:ascii="Times New Roman" w:hAnsi="Times New Roman" w:eastAsia="宋体" w:cs="Times New Roman"/>
                <w:color w:val="auto"/>
                <w:szCs w:val="22"/>
                <w:highlight w:val="none"/>
              </w:rPr>
            </w:pPr>
          </w:p>
          <w:p w14:paraId="1413C74A">
            <w:pPr>
              <w:jc w:val="left"/>
              <w:rPr>
                <w:rFonts w:hint="default" w:ascii="Times New Roman" w:hAnsi="Times New Roman" w:eastAsia="宋体" w:cs="Times New Roman"/>
                <w:color w:val="auto"/>
                <w:szCs w:val="22"/>
                <w:highlight w:val="none"/>
              </w:rPr>
            </w:pPr>
          </w:p>
          <w:p w14:paraId="72177571">
            <w:pPr>
              <w:jc w:val="left"/>
              <w:rPr>
                <w:rFonts w:hint="default" w:ascii="Times New Roman" w:hAnsi="Times New Roman" w:eastAsia="宋体" w:cs="Times New Roman"/>
                <w:color w:val="auto"/>
                <w:szCs w:val="22"/>
                <w:highlight w:val="none"/>
              </w:rPr>
            </w:pPr>
          </w:p>
          <w:p w14:paraId="244EF8ED">
            <w:pPr>
              <w:jc w:val="left"/>
              <w:rPr>
                <w:rFonts w:hint="default" w:ascii="Times New Roman" w:hAnsi="Times New Roman" w:eastAsia="宋体" w:cs="Times New Roman"/>
                <w:color w:val="auto"/>
                <w:szCs w:val="22"/>
                <w:highlight w:val="none"/>
              </w:rPr>
            </w:pPr>
          </w:p>
          <w:p w14:paraId="140D8D10">
            <w:pPr>
              <w:jc w:val="left"/>
              <w:rPr>
                <w:rFonts w:hint="default" w:ascii="Times New Roman" w:hAnsi="Times New Roman" w:eastAsia="宋体" w:cs="Times New Roman"/>
                <w:color w:val="auto"/>
                <w:szCs w:val="22"/>
                <w:highlight w:val="none"/>
              </w:rPr>
            </w:pPr>
          </w:p>
          <w:p w14:paraId="3BBAE9A8">
            <w:pPr>
              <w:jc w:val="left"/>
              <w:rPr>
                <w:rFonts w:hint="default" w:ascii="Times New Roman" w:hAnsi="Times New Roman" w:eastAsia="宋体" w:cs="Times New Roman"/>
                <w:color w:val="auto"/>
                <w:szCs w:val="22"/>
                <w:highlight w:val="none"/>
              </w:rPr>
            </w:pPr>
          </w:p>
          <w:p w14:paraId="4873CBE3">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项目实施方案</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647F2DE">
            <w:pPr>
              <w:jc w:val="left"/>
              <w:rPr>
                <w:rFonts w:hint="default" w:ascii="Times New Roman" w:hAnsi="Times New Roman" w:eastAsia="宋体" w:cs="Times New Roman"/>
                <w:color w:val="auto"/>
                <w:szCs w:val="22"/>
                <w:highlight w:val="none"/>
              </w:rPr>
            </w:pPr>
            <w:r>
              <w:rPr>
                <w:rFonts w:hint="eastAsia" w:ascii="宋体" w:hAnsi="宋体" w:eastAsia="宋体" w:cs="Times New Roman"/>
                <w:color w:val="auto"/>
                <w:szCs w:val="21"/>
                <w:highlight w:val="none"/>
              </w:rPr>
              <w:t>项目理解</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1201CA69">
            <w:pPr>
              <w:jc w:val="left"/>
              <w:rPr>
                <w:rFonts w:hint="default" w:ascii="Times New Roman" w:hAnsi="Times New Roman" w:eastAsia="宋体" w:cs="Times New Roman"/>
                <w:color w:val="auto"/>
                <w:szCs w:val="22"/>
                <w:highlight w:val="none"/>
              </w:rPr>
            </w:pPr>
            <w:r>
              <w:rPr>
                <w:rFonts w:hint="eastAsia" w:cs="Times New Roman"/>
                <w:color w:val="auto"/>
                <w:szCs w:val="22"/>
                <w:highlight w:val="none"/>
                <w:lang w:val="en-US" w:eastAsia="zh-CN"/>
              </w:rPr>
              <w:t>8</w:t>
            </w:r>
            <w:r>
              <w:rPr>
                <w:rFonts w:hint="default" w:ascii="Times New Roman" w:hAnsi="Times New Roman" w:eastAsia="宋体" w:cs="Times New Roman"/>
                <w:color w:val="auto"/>
                <w:szCs w:val="22"/>
                <w:highlight w:val="none"/>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5A9B3814">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投标供应商应结合本项目采购需求编制对项目的理解和认识：包括（1）总体目标与原则（2）调查对象介绍（3）调查技术要求</w:t>
            </w:r>
            <w:r>
              <w:rPr>
                <w:rFonts w:hint="eastAsia" w:ascii="Times New Roman" w:hAnsi="Times New Roman" w:eastAsia="宋体" w:cs="Times New Roman"/>
                <w:color w:val="auto"/>
                <w:szCs w:val="22"/>
                <w:highlight w:val="none"/>
              </w:rPr>
              <w:t>等。磋商小组根据供应商</w:t>
            </w:r>
            <w:r>
              <w:rPr>
                <w:rFonts w:hint="default" w:ascii="Times New Roman" w:hAnsi="Times New Roman" w:eastAsia="宋体" w:cs="Times New Roman"/>
                <w:color w:val="auto"/>
                <w:szCs w:val="22"/>
                <w:highlight w:val="none"/>
              </w:rPr>
              <w:t xml:space="preserve">的总体理解程度和深度，目标任务明确、思路清晰与否进行打分。 </w:t>
            </w:r>
          </w:p>
          <w:p w14:paraId="328B2F1D">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rPr>
              <w:t>1</w:t>
            </w:r>
            <w:r>
              <w:rPr>
                <w:rFonts w:hint="default" w:ascii="Times New Roman" w:hAnsi="Times New Roman" w:eastAsia="宋体" w:cs="Times New Roman"/>
                <w:color w:val="auto"/>
                <w:szCs w:val="22"/>
                <w:highlight w:val="none"/>
              </w:rPr>
              <w:t>）内容构思缜密、符合实际、完整详细，能够针对本项目主要工作内容要求而细化制定方案，语言表述准确清晰，得</w:t>
            </w:r>
            <w:r>
              <w:rPr>
                <w:rFonts w:hint="eastAsia" w:ascii="Times New Roman" w:hAnsi="Times New Roman" w:eastAsia="宋体" w:cs="Times New Roman"/>
                <w:color w:val="auto"/>
                <w:szCs w:val="22"/>
                <w:highlight w:val="none"/>
              </w:rPr>
              <w:t>8</w:t>
            </w:r>
            <w:r>
              <w:rPr>
                <w:rFonts w:hint="default" w:ascii="Times New Roman" w:hAnsi="Times New Roman" w:eastAsia="宋体" w:cs="Times New Roman"/>
                <w:color w:val="auto"/>
                <w:szCs w:val="22"/>
                <w:highlight w:val="none"/>
              </w:rPr>
              <w:t>分；</w:t>
            </w:r>
          </w:p>
          <w:p w14:paraId="27D668AA">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rPr>
              <w:t>2</w:t>
            </w:r>
            <w:r>
              <w:rPr>
                <w:rFonts w:hint="default" w:ascii="Times New Roman" w:hAnsi="Times New Roman" w:eastAsia="宋体" w:cs="Times New Roman"/>
                <w:color w:val="auto"/>
                <w:szCs w:val="22"/>
                <w:highlight w:val="none"/>
              </w:rPr>
              <w:t>）内容解读具有比较可行性、合理性</w:t>
            </w: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能够基本满足本项目采购需求内容，为本项目制定较完善的工作方案，完整和实用的，得</w:t>
            </w:r>
            <w:r>
              <w:rPr>
                <w:rFonts w:hint="eastAsia" w:ascii="Times New Roman" w:hAnsi="Times New Roman" w:eastAsia="宋体" w:cs="Times New Roman"/>
                <w:color w:val="auto"/>
                <w:szCs w:val="22"/>
                <w:highlight w:val="none"/>
              </w:rPr>
              <w:t>6</w:t>
            </w:r>
            <w:r>
              <w:rPr>
                <w:rFonts w:hint="default" w:ascii="Times New Roman" w:hAnsi="Times New Roman" w:eastAsia="宋体" w:cs="Times New Roman"/>
                <w:color w:val="auto"/>
                <w:szCs w:val="22"/>
                <w:highlight w:val="none"/>
              </w:rPr>
              <w:t>分；</w:t>
            </w:r>
          </w:p>
          <w:p w14:paraId="7793E931">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（3）内容解读有一定偏差，但不影响实质性内容表达，较具有针对性和可操作性，得4分；</w:t>
            </w:r>
          </w:p>
          <w:p w14:paraId="27766574">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（4）有项目</w:t>
            </w:r>
            <w:r>
              <w:rPr>
                <w:rFonts w:hint="eastAsia" w:ascii="Times New Roman" w:hAnsi="Times New Roman" w:eastAsia="宋体" w:cs="Times New Roman"/>
                <w:color w:val="auto"/>
                <w:szCs w:val="22"/>
                <w:highlight w:val="none"/>
              </w:rPr>
              <w:t>内容</w:t>
            </w:r>
            <w:r>
              <w:rPr>
                <w:rFonts w:hint="default" w:ascii="Times New Roman" w:hAnsi="Times New Roman" w:eastAsia="宋体" w:cs="Times New Roman"/>
                <w:color w:val="auto"/>
                <w:szCs w:val="22"/>
                <w:highlight w:val="none"/>
              </w:rPr>
              <w:t>，但内容模糊，没有针对本项目主要工作内容制定，内容不详实、不完整、内容不全面的，得</w:t>
            </w:r>
            <w:r>
              <w:rPr>
                <w:rFonts w:hint="eastAsia" w:ascii="Times New Roman" w:hAnsi="Times New Roman" w:eastAsia="宋体" w:cs="Times New Roman"/>
                <w:color w:val="auto"/>
                <w:szCs w:val="22"/>
                <w:highlight w:val="none"/>
              </w:rPr>
              <w:t>2</w:t>
            </w:r>
            <w:r>
              <w:rPr>
                <w:rFonts w:hint="default" w:ascii="Times New Roman" w:hAnsi="Times New Roman" w:eastAsia="宋体" w:cs="Times New Roman"/>
                <w:color w:val="auto"/>
                <w:szCs w:val="22"/>
                <w:highlight w:val="none"/>
              </w:rPr>
              <w:t>（含）分</w:t>
            </w:r>
            <w:r>
              <w:rPr>
                <w:rFonts w:hint="eastAsia" w:ascii="Times New Roman" w:hAnsi="Times New Roman" w:eastAsia="宋体" w:cs="Times New Roman"/>
                <w:color w:val="auto"/>
                <w:szCs w:val="22"/>
                <w:highlight w:val="none"/>
              </w:rPr>
              <w:t>；</w:t>
            </w:r>
          </w:p>
          <w:p w14:paraId="449C24CA">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rPr>
              <w:t>5</w:t>
            </w:r>
            <w:r>
              <w:rPr>
                <w:rFonts w:hint="default" w:ascii="Times New Roman" w:hAnsi="Times New Roman" w:eastAsia="宋体" w:cs="Times New Roman"/>
                <w:color w:val="auto"/>
                <w:szCs w:val="22"/>
                <w:highlight w:val="none"/>
              </w:rPr>
              <w:t>）没有内容的不得分。</w:t>
            </w:r>
          </w:p>
        </w:tc>
      </w:tr>
      <w:tr w14:paraId="4BD599E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right w:val="single" w:color="auto" w:sz="6" w:space="0"/>
            </w:tcBorders>
            <w:noWrap w:val="0"/>
            <w:vAlign w:val="center"/>
          </w:tcPr>
          <w:p w14:paraId="6E2D41F5">
            <w:pPr>
              <w:jc w:val="left"/>
              <w:rPr>
                <w:rFonts w:hint="default" w:ascii="Times New Roman" w:hAnsi="Times New Roman" w:eastAsia="宋体" w:cs="Times New Roman"/>
                <w:color w:val="auto"/>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21CFBDE9">
            <w:pPr>
              <w:jc w:val="left"/>
              <w:rPr>
                <w:rFonts w:hint="default" w:ascii="Times New Roman" w:hAnsi="Times New Roman" w:eastAsia="宋体" w:cs="Times New Roman"/>
                <w:color w:val="auto"/>
                <w:szCs w:val="22"/>
                <w:highlight w:val="none"/>
              </w:rPr>
            </w:pPr>
            <w:r>
              <w:rPr>
                <w:rFonts w:hint="eastAsia" w:ascii="宋体" w:hAnsi="宋体" w:eastAsia="宋体" w:cs="Times New Roman"/>
                <w:color w:val="auto"/>
                <w:szCs w:val="21"/>
                <w:highlight w:val="none"/>
              </w:rPr>
              <w:t>技术方案</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2AF32611">
            <w:pPr>
              <w:jc w:val="left"/>
              <w:rPr>
                <w:rFonts w:hint="default" w:ascii="Times New Roman" w:hAnsi="Times New Roman" w:eastAsia="宋体" w:cs="Times New Roman"/>
                <w:color w:val="auto"/>
                <w:szCs w:val="22"/>
                <w:highlight w:val="none"/>
              </w:rPr>
            </w:pPr>
            <w:r>
              <w:rPr>
                <w:rFonts w:hint="eastAsia" w:cs="Times New Roman"/>
                <w:color w:val="auto"/>
                <w:szCs w:val="22"/>
                <w:highlight w:val="none"/>
                <w:lang w:val="en-US" w:eastAsia="zh-CN"/>
              </w:rPr>
              <w:t>7</w:t>
            </w:r>
            <w:r>
              <w:rPr>
                <w:rFonts w:hint="default" w:ascii="Times New Roman" w:hAnsi="Times New Roman" w:eastAsia="宋体" w:cs="Times New Roman"/>
                <w:color w:val="auto"/>
                <w:szCs w:val="22"/>
                <w:highlight w:val="none"/>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457D6961">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根据本项目特征梳理本项目技术路线，形成完整的技术思路，根据投标人提供的技术方案（需</w:t>
            </w:r>
            <w:r>
              <w:rPr>
                <w:rFonts w:hint="eastAsia" w:ascii="Times New Roman" w:hAnsi="Times New Roman" w:eastAsia="宋体" w:cs="Times New Roman"/>
                <w:color w:val="auto"/>
                <w:szCs w:val="22"/>
                <w:highlight w:val="none"/>
              </w:rPr>
              <w:t>包含现场</w:t>
            </w:r>
            <w:r>
              <w:rPr>
                <w:rFonts w:hint="default" w:ascii="Times New Roman" w:hAnsi="Times New Roman" w:eastAsia="宋体" w:cs="Times New Roman"/>
                <w:color w:val="auto"/>
                <w:szCs w:val="22"/>
                <w:highlight w:val="none"/>
              </w:rPr>
              <w:t>踏勘方案、</w:t>
            </w:r>
            <w:r>
              <w:rPr>
                <w:rFonts w:hint="eastAsia" w:ascii="Times New Roman" w:hAnsi="Times New Roman" w:eastAsia="宋体" w:cs="Times New Roman"/>
                <w:color w:val="auto"/>
                <w:szCs w:val="22"/>
                <w:highlight w:val="none"/>
              </w:rPr>
              <w:t>土壤</w:t>
            </w:r>
            <w:r>
              <w:rPr>
                <w:rFonts w:hint="default" w:ascii="Times New Roman" w:hAnsi="Times New Roman" w:eastAsia="宋体" w:cs="Times New Roman"/>
                <w:color w:val="auto"/>
                <w:szCs w:val="22"/>
                <w:highlight w:val="none"/>
              </w:rPr>
              <w:t>采样方案、</w:t>
            </w:r>
            <w:r>
              <w:rPr>
                <w:rFonts w:hint="eastAsia" w:ascii="Times New Roman" w:hAnsi="Times New Roman" w:eastAsia="宋体" w:cs="Times New Roman"/>
                <w:color w:val="auto"/>
                <w:szCs w:val="22"/>
                <w:highlight w:val="none"/>
              </w:rPr>
              <w:t>土壤样品检测方案、评审会议组织方案等四个技术方案</w:t>
            </w:r>
            <w:r>
              <w:rPr>
                <w:rFonts w:hint="default" w:ascii="Times New Roman" w:hAnsi="Times New Roman" w:eastAsia="宋体" w:cs="Times New Roman"/>
                <w:color w:val="auto"/>
                <w:szCs w:val="22"/>
                <w:highlight w:val="none"/>
              </w:rPr>
              <w:t>），针对以上技术方案的科学性、</w:t>
            </w:r>
            <w:r>
              <w:rPr>
                <w:rFonts w:hint="eastAsia" w:ascii="Times New Roman" w:hAnsi="Times New Roman" w:eastAsia="宋体" w:cs="Times New Roman"/>
                <w:color w:val="auto"/>
                <w:szCs w:val="22"/>
                <w:highlight w:val="none"/>
              </w:rPr>
              <w:t>实施</w:t>
            </w:r>
            <w:r>
              <w:rPr>
                <w:rFonts w:hint="default" w:ascii="Times New Roman" w:hAnsi="Times New Roman" w:eastAsia="宋体" w:cs="Times New Roman"/>
                <w:color w:val="auto"/>
                <w:szCs w:val="22"/>
                <w:highlight w:val="none"/>
              </w:rPr>
              <w:t xml:space="preserve">性、合理性及可行性进行打分。 </w:t>
            </w:r>
          </w:p>
          <w:p w14:paraId="5F8920DF">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rPr>
              <w:t>1</w:t>
            </w:r>
            <w:r>
              <w:rPr>
                <w:rFonts w:hint="default" w:ascii="Times New Roman" w:hAnsi="Times New Roman" w:eastAsia="宋体" w:cs="Times New Roman"/>
                <w:color w:val="auto"/>
                <w:szCs w:val="22"/>
                <w:highlight w:val="none"/>
              </w:rPr>
              <w:t>）内容构思缜密、符合实际、完整详细，能够针对本项目主要工作内容要求而细化制定方案，语言表述准确清晰，具有优秀的实施性和可行性，方案科学合理的，</w:t>
            </w:r>
            <w:r>
              <w:rPr>
                <w:rFonts w:hint="eastAsia" w:ascii="Times New Roman" w:hAnsi="Times New Roman" w:eastAsia="宋体" w:cs="Times New Roman"/>
                <w:color w:val="auto"/>
                <w:szCs w:val="22"/>
                <w:highlight w:val="none"/>
              </w:rPr>
              <w:t>得</w:t>
            </w:r>
            <w:r>
              <w:rPr>
                <w:rFonts w:hint="eastAsia" w:cs="Times New Roman"/>
                <w:color w:val="auto"/>
                <w:szCs w:val="22"/>
                <w:highlight w:val="none"/>
                <w:lang w:val="en-US" w:eastAsia="zh-CN"/>
              </w:rPr>
              <w:t>7</w:t>
            </w:r>
            <w:r>
              <w:rPr>
                <w:rFonts w:hint="eastAsia" w:ascii="Times New Roman" w:hAnsi="Times New Roman" w:eastAsia="宋体" w:cs="Times New Roman"/>
                <w:color w:val="auto"/>
                <w:szCs w:val="22"/>
                <w:highlight w:val="none"/>
              </w:rPr>
              <w:t>分</w:t>
            </w:r>
            <w:r>
              <w:rPr>
                <w:rFonts w:hint="default" w:ascii="Times New Roman" w:hAnsi="Times New Roman" w:eastAsia="宋体" w:cs="Times New Roman"/>
                <w:color w:val="auto"/>
                <w:szCs w:val="22"/>
                <w:highlight w:val="none"/>
              </w:rPr>
              <w:t>；</w:t>
            </w:r>
          </w:p>
          <w:p w14:paraId="25144029">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rPr>
              <w:t>2</w:t>
            </w:r>
            <w:r>
              <w:rPr>
                <w:rFonts w:hint="default" w:ascii="Times New Roman" w:hAnsi="Times New Roman" w:eastAsia="宋体" w:cs="Times New Roman"/>
                <w:color w:val="auto"/>
                <w:szCs w:val="22"/>
                <w:highlight w:val="none"/>
              </w:rPr>
              <w:t>）内容解读具有比较好的可行性、合理性</w:t>
            </w: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能够基本满足本项目采购需求内容，为本项目制定较完善的工作方案，完整和实用的得</w:t>
            </w:r>
            <w:r>
              <w:rPr>
                <w:rFonts w:hint="eastAsia" w:ascii="Times New Roman" w:hAnsi="Times New Roman" w:eastAsia="宋体" w:cs="Times New Roman"/>
                <w:color w:val="auto"/>
                <w:szCs w:val="22"/>
                <w:highlight w:val="none"/>
              </w:rPr>
              <w:t>得</w:t>
            </w:r>
            <w:r>
              <w:rPr>
                <w:rFonts w:hint="eastAsia" w:cs="Times New Roman"/>
                <w:color w:val="auto"/>
                <w:szCs w:val="22"/>
                <w:highlight w:val="none"/>
                <w:lang w:val="en-US" w:eastAsia="zh-CN"/>
              </w:rPr>
              <w:t>5</w:t>
            </w:r>
            <w:r>
              <w:rPr>
                <w:rFonts w:hint="eastAsia" w:ascii="Times New Roman" w:hAnsi="Times New Roman" w:eastAsia="宋体" w:cs="Times New Roman"/>
                <w:color w:val="auto"/>
                <w:szCs w:val="22"/>
                <w:highlight w:val="none"/>
              </w:rPr>
              <w:t>分</w:t>
            </w:r>
            <w:r>
              <w:rPr>
                <w:rFonts w:hint="default" w:ascii="Times New Roman" w:hAnsi="Times New Roman" w:eastAsia="宋体" w:cs="Times New Roman"/>
                <w:color w:val="auto"/>
                <w:szCs w:val="22"/>
                <w:highlight w:val="none"/>
              </w:rPr>
              <w:t>；</w:t>
            </w:r>
          </w:p>
          <w:p w14:paraId="45E79977">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（3）方案内容有一定偏差，虽然可行性和实施性一般，但不影响实质内容表达，较具有针对性和可操作性，</w:t>
            </w:r>
            <w:r>
              <w:rPr>
                <w:rFonts w:hint="eastAsia" w:ascii="Times New Roman" w:hAnsi="Times New Roman" w:eastAsia="宋体" w:cs="Times New Roman"/>
                <w:color w:val="auto"/>
                <w:szCs w:val="22"/>
                <w:highlight w:val="none"/>
              </w:rPr>
              <w:t>得</w:t>
            </w:r>
            <w:r>
              <w:rPr>
                <w:rFonts w:hint="eastAsia" w:cs="Times New Roman"/>
                <w:color w:val="auto"/>
                <w:szCs w:val="22"/>
                <w:highlight w:val="none"/>
                <w:lang w:val="en-US" w:eastAsia="zh-CN"/>
              </w:rPr>
              <w:t>3</w:t>
            </w:r>
            <w:r>
              <w:rPr>
                <w:rFonts w:hint="eastAsia" w:ascii="Times New Roman" w:hAnsi="Times New Roman" w:eastAsia="宋体" w:cs="Times New Roman"/>
                <w:color w:val="auto"/>
                <w:szCs w:val="22"/>
                <w:highlight w:val="none"/>
              </w:rPr>
              <w:t>分</w:t>
            </w:r>
            <w:r>
              <w:rPr>
                <w:rFonts w:hint="default" w:ascii="Times New Roman" w:hAnsi="Times New Roman" w:eastAsia="宋体" w:cs="Times New Roman"/>
                <w:color w:val="auto"/>
                <w:szCs w:val="22"/>
                <w:highlight w:val="none"/>
              </w:rPr>
              <w:t>；</w:t>
            </w:r>
          </w:p>
          <w:p w14:paraId="1C8E3D8A">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（4）有项目实施方案， 但方案内容模糊，没有针对本项目主要工作内容制定，内容不详实、不完整、内容不全面的</w:t>
            </w:r>
            <w:r>
              <w:rPr>
                <w:rFonts w:hint="eastAsia" w:ascii="Times New Roman" w:hAnsi="Times New Roman" w:eastAsia="宋体" w:cs="Times New Roman"/>
                <w:color w:val="auto"/>
                <w:szCs w:val="22"/>
                <w:highlight w:val="none"/>
              </w:rPr>
              <w:t>得</w:t>
            </w:r>
            <w:r>
              <w:rPr>
                <w:rFonts w:hint="eastAsia" w:cs="Times New Roman"/>
                <w:color w:val="auto"/>
                <w:szCs w:val="22"/>
                <w:highlight w:val="none"/>
                <w:lang w:val="en-US" w:eastAsia="zh-CN"/>
              </w:rPr>
              <w:t>1</w:t>
            </w:r>
            <w:r>
              <w:rPr>
                <w:rFonts w:hint="eastAsia" w:ascii="Times New Roman" w:hAnsi="Times New Roman" w:eastAsia="宋体" w:cs="Times New Roman"/>
                <w:color w:val="auto"/>
                <w:szCs w:val="22"/>
                <w:highlight w:val="none"/>
              </w:rPr>
              <w:t>分</w:t>
            </w:r>
            <w:r>
              <w:rPr>
                <w:rFonts w:hint="default" w:ascii="Times New Roman" w:hAnsi="Times New Roman" w:eastAsia="宋体" w:cs="Times New Roman"/>
                <w:color w:val="auto"/>
                <w:szCs w:val="22"/>
                <w:highlight w:val="none"/>
              </w:rPr>
              <w:t>；</w:t>
            </w:r>
          </w:p>
          <w:p w14:paraId="7A905584">
            <w:pPr>
              <w:jc w:val="left"/>
              <w:rPr>
                <w:rFonts w:hint="default" w:ascii="宋体" w:hAnsi="宋体" w:eastAsia="宋体" w:cs="宋体"/>
                <w:color w:val="auto"/>
                <w:sz w:val="24"/>
                <w:szCs w:val="24"/>
                <w:highlight w:val="none"/>
              </w:rPr>
            </w:pPr>
            <w:r>
              <w:rPr>
                <w:rFonts w:hint="default"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rPr>
              <w:t>5</w:t>
            </w:r>
            <w:r>
              <w:rPr>
                <w:rFonts w:hint="default" w:ascii="Times New Roman" w:hAnsi="Times New Roman" w:eastAsia="宋体" w:cs="Times New Roman"/>
                <w:color w:val="auto"/>
                <w:szCs w:val="22"/>
                <w:highlight w:val="none"/>
              </w:rPr>
              <w:t>）没有内容的不得分。</w:t>
            </w:r>
          </w:p>
        </w:tc>
      </w:tr>
      <w:tr w14:paraId="754082C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right w:val="single" w:color="auto" w:sz="6" w:space="0"/>
            </w:tcBorders>
            <w:noWrap w:val="0"/>
            <w:vAlign w:val="center"/>
          </w:tcPr>
          <w:p w14:paraId="711A630E">
            <w:pPr>
              <w:jc w:val="left"/>
              <w:rPr>
                <w:rFonts w:hint="default" w:ascii="Times New Roman" w:hAnsi="Times New Roman" w:eastAsia="宋体" w:cs="Times New Roman"/>
                <w:color w:val="auto"/>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4B23631B">
            <w:pPr>
              <w:jc w:val="lef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组织方案</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6D8DB280">
            <w:pPr>
              <w:jc w:val="left"/>
              <w:rPr>
                <w:rFonts w:hint="default" w:ascii="Times New Roman" w:hAnsi="Times New Roman" w:eastAsia="宋体" w:cs="Times New Roman"/>
                <w:color w:val="auto"/>
                <w:szCs w:val="22"/>
                <w:highlight w:val="none"/>
              </w:rPr>
            </w:pPr>
            <w:r>
              <w:rPr>
                <w:rFonts w:hint="eastAsia" w:cs="Times New Roman"/>
                <w:color w:val="auto"/>
                <w:szCs w:val="22"/>
                <w:highlight w:val="none"/>
                <w:lang w:val="en-US" w:eastAsia="zh-CN"/>
              </w:rPr>
              <w:t>6</w:t>
            </w:r>
            <w:r>
              <w:rPr>
                <w:rFonts w:hint="default" w:ascii="Times New Roman" w:hAnsi="Times New Roman" w:eastAsia="宋体" w:cs="Times New Roman"/>
                <w:color w:val="auto"/>
                <w:szCs w:val="22"/>
                <w:highlight w:val="none"/>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1DFBF87E">
            <w:pPr>
              <w:widowControl/>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根据供应商提供针对本项目的项目组织方案进行综合评分。</w:t>
            </w:r>
          </w:p>
          <w:p w14:paraId="57B68757">
            <w:pPr>
              <w:widowControl/>
              <w:numPr>
                <w:ilvl w:val="0"/>
                <w:numId w:val="8"/>
              </w:numPr>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项目组织方案在项目实施过程和后续支撑中提出的服务保障措施明确、可行、针对强，计划详尽、准确、针对性强且合理可行的，</w:t>
            </w:r>
            <w:r>
              <w:rPr>
                <w:rFonts w:hint="eastAsia" w:cs="Times New Roman"/>
                <w:color w:val="auto"/>
                <w:szCs w:val="22"/>
                <w:highlight w:val="none"/>
                <w:lang w:val="en-US" w:eastAsia="zh-CN"/>
              </w:rPr>
              <w:t>6</w:t>
            </w:r>
            <w:r>
              <w:rPr>
                <w:rFonts w:hint="eastAsia" w:ascii="Times New Roman" w:hAnsi="Times New Roman" w:eastAsia="宋体" w:cs="Times New Roman"/>
                <w:color w:val="auto"/>
                <w:szCs w:val="22"/>
                <w:highlight w:val="none"/>
              </w:rPr>
              <w:t>分</w:t>
            </w:r>
            <w:r>
              <w:rPr>
                <w:rFonts w:hint="eastAsia" w:ascii="宋体" w:hAnsi="宋体" w:eastAsia="宋体" w:cs="宋体"/>
                <w:color w:val="auto"/>
                <w:szCs w:val="21"/>
                <w:highlight w:val="none"/>
              </w:rPr>
              <w:t>；</w:t>
            </w:r>
          </w:p>
          <w:p w14:paraId="0F9D9C4C">
            <w:pPr>
              <w:widowControl/>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（2）项目组织方案内容具有比较可行性、合理性、能够基本满足本项目采购需求内容，为本项目制定较完善的工作方案，完整和实用的得</w:t>
            </w:r>
            <w:r>
              <w:rPr>
                <w:rFonts w:hint="eastAsia" w:cs="Times New Roman"/>
                <w:color w:val="auto"/>
                <w:szCs w:val="22"/>
                <w:highlight w:val="none"/>
                <w:lang w:val="en-US" w:eastAsia="zh-CN"/>
              </w:rPr>
              <w:t>4</w:t>
            </w:r>
            <w:r>
              <w:rPr>
                <w:rFonts w:hint="eastAsia" w:ascii="Times New Roman" w:hAnsi="Times New Roman" w:eastAsia="宋体" w:cs="Times New Roman"/>
                <w:color w:val="auto"/>
                <w:szCs w:val="22"/>
                <w:highlight w:val="none"/>
              </w:rPr>
              <w:t>分</w:t>
            </w:r>
            <w:r>
              <w:rPr>
                <w:rFonts w:hint="eastAsia" w:ascii="宋体" w:hAnsi="宋体" w:eastAsia="宋体" w:cs="宋体"/>
                <w:color w:val="auto"/>
                <w:szCs w:val="21"/>
                <w:highlight w:val="none"/>
              </w:rPr>
              <w:t>；</w:t>
            </w:r>
          </w:p>
          <w:p w14:paraId="0D4CEDD2">
            <w:pPr>
              <w:jc w:val="left"/>
              <w:rPr>
                <w:rFonts w:hint="default" w:ascii="Times New Roman" w:hAnsi="Times New Roman" w:eastAsia="宋体" w:cs="Times New Roman"/>
                <w:color w:val="auto"/>
                <w:szCs w:val="22"/>
                <w:highlight w:val="none"/>
              </w:rPr>
            </w:pPr>
            <w:r>
              <w:rPr>
                <w:rFonts w:hint="eastAsia" w:ascii="宋体" w:hAnsi="宋体" w:eastAsia="宋体" w:cs="宋体"/>
                <w:color w:val="auto"/>
                <w:szCs w:val="21"/>
                <w:highlight w:val="none"/>
              </w:rPr>
              <w:t>（3）项目组织</w:t>
            </w:r>
            <w:r>
              <w:rPr>
                <w:rFonts w:hint="eastAsia" w:ascii="Times New Roman" w:hAnsi="Times New Roman" w:eastAsia="宋体" w:cs="Times New Roman"/>
                <w:color w:val="auto"/>
                <w:szCs w:val="22"/>
                <w:highlight w:val="none"/>
              </w:rPr>
              <w:t>方案内容有一定偏差，但不影响实质性内容表达，较具有针对性和可操作性，得</w:t>
            </w:r>
            <w:r>
              <w:rPr>
                <w:rFonts w:hint="eastAsia" w:cs="Times New Roman"/>
                <w:color w:val="auto"/>
                <w:szCs w:val="22"/>
                <w:highlight w:val="none"/>
                <w:lang w:val="en-US" w:eastAsia="zh-CN"/>
              </w:rPr>
              <w:t>2</w:t>
            </w:r>
            <w:r>
              <w:rPr>
                <w:rFonts w:hint="eastAsia" w:ascii="Times New Roman" w:hAnsi="Times New Roman" w:eastAsia="宋体" w:cs="Times New Roman"/>
                <w:color w:val="auto"/>
                <w:szCs w:val="22"/>
                <w:highlight w:val="none"/>
              </w:rPr>
              <w:t>分；</w:t>
            </w:r>
          </w:p>
          <w:p w14:paraId="7B8924BA">
            <w:pPr>
              <w:widowControl/>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（4）项目组织方案内容模糊，没有针对本项目主要工作内容制定，内容不详实、不完整、内容不全面的得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w:t>
            </w:r>
          </w:p>
          <w:p w14:paraId="23D5DA8F">
            <w:pPr>
              <w:jc w:val="left"/>
              <w:rPr>
                <w:rFonts w:hint="default" w:ascii="Times New Roman" w:hAnsi="Times New Roman" w:eastAsia="宋体" w:cs="Times New Roman"/>
                <w:color w:val="auto"/>
                <w:szCs w:val="22"/>
                <w:highlight w:val="none"/>
              </w:rPr>
            </w:pPr>
            <w:r>
              <w:rPr>
                <w:rFonts w:hint="eastAsia" w:ascii="宋体" w:hAnsi="宋体" w:eastAsia="宋体" w:cs="宋体"/>
                <w:color w:val="auto"/>
                <w:szCs w:val="21"/>
                <w:highlight w:val="none"/>
              </w:rPr>
              <w:t>（5）没有内容的不得分。</w:t>
            </w:r>
          </w:p>
        </w:tc>
      </w:tr>
      <w:tr w14:paraId="5885E66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right w:val="single" w:color="auto" w:sz="6" w:space="0"/>
            </w:tcBorders>
            <w:noWrap w:val="0"/>
            <w:vAlign w:val="center"/>
          </w:tcPr>
          <w:p w14:paraId="613E449B">
            <w:pPr>
              <w:jc w:val="left"/>
              <w:rPr>
                <w:rFonts w:hint="default" w:ascii="Times New Roman" w:hAnsi="Times New Roman" w:eastAsia="宋体" w:cs="Times New Roman"/>
                <w:color w:val="auto"/>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2878BC1">
            <w:pPr>
              <w:jc w:val="left"/>
              <w:rPr>
                <w:rFonts w:hint="default" w:ascii="宋体" w:hAnsi="宋体" w:eastAsia="宋体" w:cs="Times New Roman"/>
                <w:color w:val="auto"/>
                <w:szCs w:val="21"/>
                <w:highlight w:val="none"/>
              </w:rPr>
            </w:pPr>
            <w:r>
              <w:rPr>
                <w:rFonts w:hint="default" w:ascii="Times New Roman" w:hAnsi="Times New Roman" w:eastAsia="宋体" w:cs="Times New Roman"/>
                <w:color w:val="auto"/>
                <w:szCs w:val="21"/>
                <w:highlight w:val="none"/>
              </w:rPr>
              <w:t>项目进度安排</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052FEE85">
            <w:pPr>
              <w:jc w:val="left"/>
              <w:rPr>
                <w:rFonts w:hint="default" w:ascii="Times New Roman" w:hAnsi="Times New Roman" w:eastAsia="宋体" w:cs="Times New Roman"/>
                <w:color w:val="auto"/>
                <w:szCs w:val="22"/>
                <w:highlight w:val="none"/>
              </w:rPr>
            </w:pPr>
            <w:r>
              <w:rPr>
                <w:rFonts w:hint="eastAsia" w:cs="Times New Roman"/>
                <w:color w:val="auto"/>
                <w:szCs w:val="22"/>
                <w:highlight w:val="none"/>
                <w:lang w:val="en-US" w:eastAsia="zh-CN"/>
              </w:rPr>
              <w:t>6</w:t>
            </w:r>
            <w:r>
              <w:rPr>
                <w:rFonts w:hint="default" w:ascii="Times New Roman" w:hAnsi="Times New Roman" w:eastAsia="宋体" w:cs="Times New Roman"/>
                <w:color w:val="auto"/>
                <w:szCs w:val="22"/>
                <w:highlight w:val="none"/>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1A2EC441">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根据项目需求分析</w:t>
            </w: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从供应商对项目完成期限</w:t>
            </w: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 xml:space="preserve">对项目进度安排合理性、工序管理措施科学性、工期滞后弥补办法、突发情况应急办法、工期时间长短进行评审，编制详细、可行的实施方案。 </w:t>
            </w:r>
          </w:p>
          <w:p w14:paraId="681BA37C">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rPr>
              <w:t>1</w:t>
            </w:r>
            <w:r>
              <w:rPr>
                <w:rFonts w:hint="default" w:ascii="Times New Roman" w:hAnsi="Times New Roman" w:eastAsia="宋体" w:cs="Times New Roman"/>
                <w:color w:val="auto"/>
                <w:szCs w:val="22"/>
                <w:highlight w:val="none"/>
              </w:rPr>
              <w:t>）内容构思缜密、符合实际、完整详细，能够制定详细、具体方案，语言表述准确清晰，</w:t>
            </w:r>
            <w:r>
              <w:rPr>
                <w:rFonts w:hint="eastAsia" w:ascii="Times New Roman" w:hAnsi="Times New Roman" w:eastAsia="宋体" w:cs="Times New Roman"/>
                <w:color w:val="auto"/>
                <w:szCs w:val="22"/>
                <w:highlight w:val="none"/>
              </w:rPr>
              <w:t>得</w:t>
            </w:r>
            <w:r>
              <w:rPr>
                <w:rFonts w:hint="eastAsia" w:cs="Times New Roman"/>
                <w:color w:val="auto"/>
                <w:szCs w:val="22"/>
                <w:highlight w:val="none"/>
                <w:lang w:val="en-US" w:eastAsia="zh-CN"/>
              </w:rPr>
              <w:t>6</w:t>
            </w:r>
            <w:r>
              <w:rPr>
                <w:rFonts w:hint="eastAsia" w:ascii="Times New Roman" w:hAnsi="Times New Roman" w:eastAsia="宋体" w:cs="Times New Roman"/>
                <w:color w:val="auto"/>
                <w:szCs w:val="22"/>
                <w:highlight w:val="none"/>
              </w:rPr>
              <w:t>分</w:t>
            </w:r>
            <w:r>
              <w:rPr>
                <w:rFonts w:hint="default" w:ascii="Times New Roman" w:hAnsi="Times New Roman" w:eastAsia="宋体" w:cs="Times New Roman"/>
                <w:color w:val="auto"/>
                <w:szCs w:val="22"/>
                <w:highlight w:val="none"/>
              </w:rPr>
              <w:t>；</w:t>
            </w:r>
          </w:p>
          <w:p w14:paraId="4123A64A">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（2）内容解读具有比较可行性、合理性、能够基本满足本项目采购需求内容，为本项目制定较完善的工作方案，完整和实用的</w:t>
            </w:r>
            <w:r>
              <w:rPr>
                <w:rFonts w:hint="eastAsia" w:ascii="Times New Roman" w:hAnsi="Times New Roman" w:eastAsia="宋体" w:cs="Times New Roman"/>
                <w:color w:val="auto"/>
                <w:szCs w:val="22"/>
                <w:highlight w:val="none"/>
              </w:rPr>
              <w:t>得</w:t>
            </w:r>
            <w:r>
              <w:rPr>
                <w:rFonts w:hint="eastAsia" w:cs="Times New Roman"/>
                <w:color w:val="auto"/>
                <w:szCs w:val="22"/>
                <w:highlight w:val="none"/>
                <w:lang w:val="en-US" w:eastAsia="zh-CN"/>
              </w:rPr>
              <w:t>4</w:t>
            </w:r>
            <w:r>
              <w:rPr>
                <w:rFonts w:hint="eastAsia" w:ascii="Times New Roman" w:hAnsi="Times New Roman" w:eastAsia="宋体" w:cs="Times New Roman"/>
                <w:color w:val="auto"/>
                <w:szCs w:val="22"/>
                <w:highlight w:val="none"/>
              </w:rPr>
              <w:t>分</w:t>
            </w:r>
            <w:r>
              <w:rPr>
                <w:rFonts w:hint="default" w:ascii="Times New Roman" w:hAnsi="Times New Roman" w:eastAsia="宋体" w:cs="Times New Roman"/>
                <w:color w:val="auto"/>
                <w:szCs w:val="22"/>
                <w:highlight w:val="none"/>
              </w:rPr>
              <w:t>；</w:t>
            </w:r>
          </w:p>
          <w:p w14:paraId="69A3CED3">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3</w:t>
            </w: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方案内容有一定偏差，但不影响实质性内容表达，较具有针对性和可操作性，</w:t>
            </w:r>
            <w:r>
              <w:rPr>
                <w:rFonts w:hint="eastAsia" w:ascii="Times New Roman" w:hAnsi="Times New Roman" w:eastAsia="宋体" w:cs="Times New Roman"/>
                <w:color w:val="auto"/>
                <w:szCs w:val="22"/>
                <w:highlight w:val="none"/>
              </w:rPr>
              <w:t>得</w:t>
            </w:r>
            <w:r>
              <w:rPr>
                <w:rFonts w:hint="eastAsia" w:cs="Times New Roman"/>
                <w:color w:val="auto"/>
                <w:szCs w:val="22"/>
                <w:highlight w:val="none"/>
                <w:lang w:val="en-US" w:eastAsia="zh-CN"/>
              </w:rPr>
              <w:t>2</w:t>
            </w:r>
            <w:r>
              <w:rPr>
                <w:rFonts w:hint="eastAsia" w:ascii="Times New Roman" w:hAnsi="Times New Roman" w:eastAsia="宋体" w:cs="Times New Roman"/>
                <w:color w:val="auto"/>
                <w:szCs w:val="22"/>
                <w:highlight w:val="none"/>
              </w:rPr>
              <w:t>分</w:t>
            </w:r>
            <w:r>
              <w:rPr>
                <w:rFonts w:hint="default" w:ascii="Times New Roman" w:hAnsi="Times New Roman" w:eastAsia="宋体" w:cs="Times New Roman"/>
                <w:color w:val="auto"/>
                <w:szCs w:val="22"/>
                <w:highlight w:val="none"/>
              </w:rPr>
              <w:t>；</w:t>
            </w:r>
          </w:p>
          <w:p w14:paraId="247E8F8C">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（4）有项目实施方案，但方案内容模糊，没有针对本项目主要工作内容制定，内容不详实、不完整、内容不全面的</w:t>
            </w:r>
            <w:r>
              <w:rPr>
                <w:rFonts w:hint="eastAsia" w:ascii="Times New Roman" w:hAnsi="Times New Roman" w:eastAsia="宋体" w:cs="Times New Roman"/>
                <w:color w:val="auto"/>
                <w:szCs w:val="22"/>
                <w:highlight w:val="none"/>
              </w:rPr>
              <w:t>得</w:t>
            </w:r>
            <w:r>
              <w:rPr>
                <w:rFonts w:hint="eastAsia" w:cs="Times New Roman"/>
                <w:color w:val="auto"/>
                <w:szCs w:val="22"/>
                <w:highlight w:val="none"/>
                <w:lang w:val="en-US" w:eastAsia="zh-CN"/>
              </w:rPr>
              <w:t>1</w:t>
            </w:r>
            <w:r>
              <w:rPr>
                <w:rFonts w:hint="eastAsia" w:ascii="Times New Roman" w:hAnsi="Times New Roman" w:eastAsia="宋体" w:cs="Times New Roman"/>
                <w:color w:val="auto"/>
                <w:szCs w:val="22"/>
                <w:highlight w:val="none"/>
              </w:rPr>
              <w:t>分；</w:t>
            </w:r>
          </w:p>
          <w:p w14:paraId="74D10A01">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5</w:t>
            </w: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没有内容的不得分</w:t>
            </w:r>
            <w:r>
              <w:rPr>
                <w:rFonts w:hint="eastAsia" w:ascii="Times New Roman" w:hAnsi="Times New Roman" w:eastAsia="宋体" w:cs="Times New Roman"/>
                <w:color w:val="auto"/>
                <w:szCs w:val="22"/>
                <w:highlight w:val="none"/>
              </w:rPr>
              <w:t>。</w:t>
            </w:r>
          </w:p>
        </w:tc>
      </w:tr>
      <w:tr w14:paraId="2362B8D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right w:val="single" w:color="auto" w:sz="6" w:space="0"/>
            </w:tcBorders>
            <w:noWrap w:val="0"/>
            <w:vAlign w:val="center"/>
          </w:tcPr>
          <w:p w14:paraId="41FC98DB">
            <w:pPr>
              <w:jc w:val="left"/>
              <w:rPr>
                <w:rFonts w:hint="default" w:ascii="Times New Roman" w:hAnsi="Times New Roman" w:eastAsia="宋体" w:cs="Times New Roman"/>
                <w:color w:val="auto"/>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5B914FF">
            <w:pPr>
              <w:jc w:val="left"/>
              <w:rPr>
                <w:rFonts w:hint="default" w:ascii="宋体" w:hAnsi="宋体" w:eastAsia="宋体" w:cs="Times New Roman"/>
                <w:color w:val="auto"/>
                <w:szCs w:val="21"/>
                <w:highlight w:val="none"/>
              </w:rPr>
            </w:pPr>
            <w:r>
              <w:rPr>
                <w:rFonts w:hint="default" w:ascii="Times New Roman" w:hAnsi="Times New Roman" w:eastAsia="宋体" w:cs="Times New Roman"/>
                <w:color w:val="auto"/>
                <w:szCs w:val="21"/>
                <w:highlight w:val="none"/>
              </w:rPr>
              <w:t>质量保障措施</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65CFB4AA">
            <w:pPr>
              <w:jc w:val="left"/>
              <w:rPr>
                <w:rFonts w:hint="default" w:ascii="Times New Roman" w:hAnsi="Times New Roman" w:eastAsia="宋体" w:cs="Times New Roman"/>
                <w:color w:val="auto"/>
                <w:szCs w:val="22"/>
                <w:highlight w:val="none"/>
              </w:rPr>
            </w:pPr>
            <w:r>
              <w:rPr>
                <w:rFonts w:hint="eastAsia" w:cs="Times New Roman"/>
                <w:color w:val="auto"/>
                <w:szCs w:val="22"/>
                <w:highlight w:val="none"/>
                <w:lang w:val="en-US" w:eastAsia="zh-CN"/>
              </w:rPr>
              <w:t>5</w:t>
            </w:r>
            <w:r>
              <w:rPr>
                <w:rFonts w:hint="default" w:ascii="Times New Roman" w:hAnsi="Times New Roman" w:eastAsia="宋体" w:cs="Times New Roman"/>
                <w:color w:val="auto"/>
                <w:szCs w:val="22"/>
                <w:highlight w:val="none"/>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3CA4403F">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根据项目需求分析，从供应商提供的质量、安全、保密等保障措施完整性、合理性；制定明确的成果资料保密措施和安全保障手段进行评审，编制 详细、可行的实施方案。</w:t>
            </w:r>
          </w:p>
          <w:p w14:paraId="1C8BFCC8">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（1）内容构思缜密、符合实际、完整详细，能够制定详细、具体方案，语言表述准确清晰，得</w:t>
            </w:r>
            <w:r>
              <w:rPr>
                <w:rFonts w:hint="eastAsia" w:cs="Times New Roman"/>
                <w:color w:val="auto"/>
                <w:szCs w:val="22"/>
                <w:highlight w:val="none"/>
                <w:lang w:val="en-US" w:eastAsia="zh-CN"/>
              </w:rPr>
              <w:t>5</w:t>
            </w:r>
            <w:r>
              <w:rPr>
                <w:rFonts w:hint="eastAsia" w:ascii="Times New Roman" w:hAnsi="Times New Roman" w:eastAsia="宋体" w:cs="Times New Roman"/>
                <w:color w:val="auto"/>
                <w:szCs w:val="22"/>
                <w:highlight w:val="none"/>
              </w:rPr>
              <w:t>分；</w:t>
            </w:r>
          </w:p>
          <w:p w14:paraId="3D4B0572">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（2）内容解读具有比较可行性、合理性、能够基本满足本项目采购需求内容，为本项目制定较完善的工作方案，完整和实用的得</w:t>
            </w:r>
            <w:r>
              <w:rPr>
                <w:rFonts w:hint="eastAsia" w:cs="Times New Roman"/>
                <w:color w:val="auto"/>
                <w:szCs w:val="22"/>
                <w:highlight w:val="none"/>
                <w:lang w:val="en-US" w:eastAsia="zh-CN"/>
              </w:rPr>
              <w:t>4</w:t>
            </w:r>
            <w:r>
              <w:rPr>
                <w:rFonts w:hint="eastAsia" w:ascii="Times New Roman" w:hAnsi="Times New Roman" w:eastAsia="宋体" w:cs="Times New Roman"/>
                <w:color w:val="auto"/>
                <w:szCs w:val="22"/>
                <w:highlight w:val="none"/>
              </w:rPr>
              <w:t>分；</w:t>
            </w:r>
          </w:p>
          <w:p w14:paraId="560B83AF">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3</w:t>
            </w:r>
            <w:r>
              <w:rPr>
                <w:rFonts w:hint="eastAsia" w:ascii="Times New Roman" w:hAnsi="Times New Roman" w:eastAsia="宋体" w:cs="Times New Roman"/>
                <w:color w:val="auto"/>
                <w:szCs w:val="22"/>
                <w:highlight w:val="none"/>
              </w:rPr>
              <w:t>）方案内容有一定偏差，但不影响实质性内容表达，较具有针对性和可操作性，得</w:t>
            </w:r>
            <w:r>
              <w:rPr>
                <w:rFonts w:hint="eastAsia" w:cs="Times New Roman"/>
                <w:color w:val="auto"/>
                <w:szCs w:val="22"/>
                <w:highlight w:val="none"/>
                <w:lang w:val="en-US" w:eastAsia="zh-CN"/>
              </w:rPr>
              <w:t>3</w:t>
            </w:r>
            <w:r>
              <w:rPr>
                <w:rFonts w:hint="eastAsia" w:ascii="Times New Roman" w:hAnsi="Times New Roman" w:eastAsia="宋体" w:cs="Times New Roman"/>
                <w:color w:val="auto"/>
                <w:szCs w:val="22"/>
                <w:highlight w:val="none"/>
              </w:rPr>
              <w:t>分；</w:t>
            </w:r>
          </w:p>
          <w:p w14:paraId="23FA025A">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4</w:t>
            </w:r>
            <w:r>
              <w:rPr>
                <w:rFonts w:hint="eastAsia" w:ascii="Times New Roman" w:hAnsi="Times New Roman" w:eastAsia="宋体" w:cs="Times New Roman"/>
                <w:color w:val="auto"/>
                <w:szCs w:val="22"/>
                <w:highlight w:val="none"/>
              </w:rPr>
              <w:t>）有项目实施方案，但方案内容模糊，没有针对本项目主要工作内容制定，内容不详实、 不完整、内容不全面的得</w:t>
            </w:r>
            <w:r>
              <w:rPr>
                <w:rFonts w:hint="eastAsia" w:cs="Times New Roman"/>
                <w:color w:val="auto"/>
                <w:szCs w:val="22"/>
                <w:highlight w:val="none"/>
                <w:lang w:val="en-US" w:eastAsia="zh-CN"/>
              </w:rPr>
              <w:t>2</w:t>
            </w:r>
            <w:r>
              <w:rPr>
                <w:rFonts w:hint="eastAsia" w:ascii="Times New Roman" w:hAnsi="Times New Roman" w:eastAsia="宋体" w:cs="Times New Roman"/>
                <w:color w:val="auto"/>
                <w:szCs w:val="22"/>
                <w:highlight w:val="none"/>
              </w:rPr>
              <w:t>分；</w:t>
            </w:r>
          </w:p>
          <w:p w14:paraId="4BF8483D">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5</w:t>
            </w:r>
            <w:r>
              <w:rPr>
                <w:rFonts w:hint="eastAsia" w:ascii="Times New Roman" w:hAnsi="Times New Roman" w:eastAsia="宋体" w:cs="Times New Roman"/>
                <w:color w:val="auto"/>
                <w:szCs w:val="22"/>
                <w:highlight w:val="none"/>
              </w:rPr>
              <w:t>）没有内容的不得分。</w:t>
            </w:r>
          </w:p>
        </w:tc>
      </w:tr>
      <w:tr w14:paraId="0811ED9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bottom w:val="single" w:color="auto" w:sz="6" w:space="0"/>
              <w:right w:val="single" w:color="auto" w:sz="6" w:space="0"/>
            </w:tcBorders>
            <w:noWrap w:val="0"/>
            <w:vAlign w:val="center"/>
          </w:tcPr>
          <w:p w14:paraId="7CDC9FA5">
            <w:pPr>
              <w:jc w:val="left"/>
              <w:rPr>
                <w:rFonts w:hint="default" w:ascii="Times New Roman" w:hAnsi="Times New Roman" w:eastAsia="宋体" w:cs="Times New Roman"/>
                <w:color w:val="auto"/>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AEC6867">
            <w:pPr>
              <w:jc w:val="left"/>
              <w:rPr>
                <w:rFonts w:hint="default" w:ascii="宋体" w:hAnsi="宋体" w:eastAsia="宋体" w:cs="Times New Roman"/>
                <w:color w:val="auto"/>
                <w:szCs w:val="21"/>
                <w:highlight w:val="none"/>
              </w:rPr>
            </w:pPr>
            <w:r>
              <w:rPr>
                <w:rFonts w:hint="default" w:ascii="Times New Roman" w:hAnsi="Times New Roman" w:eastAsia="宋体" w:cs="Times New Roman"/>
                <w:color w:val="auto"/>
                <w:szCs w:val="21"/>
                <w:highlight w:val="none"/>
              </w:rPr>
              <w:t>售后服务保证措施</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3CCD27E8">
            <w:pPr>
              <w:jc w:val="left"/>
              <w:rPr>
                <w:rFonts w:hint="default" w:ascii="Times New Roman" w:hAnsi="Times New Roman" w:eastAsia="宋体" w:cs="Times New Roman"/>
                <w:color w:val="auto"/>
                <w:szCs w:val="22"/>
                <w:highlight w:val="none"/>
              </w:rPr>
            </w:pPr>
            <w:r>
              <w:rPr>
                <w:rFonts w:hint="eastAsia" w:ascii="宋体" w:hAnsi="宋体" w:cs="Times New Roman"/>
                <w:color w:val="auto"/>
                <w:szCs w:val="21"/>
                <w:highlight w:val="none"/>
                <w:lang w:val="en-US" w:eastAsia="zh-CN"/>
              </w:rPr>
              <w:t>4</w:t>
            </w:r>
            <w:r>
              <w:rPr>
                <w:rFonts w:hint="default" w:ascii="宋体" w:hAnsi="宋体" w:eastAsia="宋体" w:cs="Times New Roman"/>
                <w:color w:val="auto"/>
                <w:szCs w:val="21"/>
                <w:highlight w:val="none"/>
                <w:lang w:val="zh-CN"/>
              </w:rPr>
              <w:t>.00分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54DBD2A2">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根据项目需求分析，从售后服务保证体系（问题预警、问题的投诉响应处理、问题的解决办法、重大问题应急预案），后续服务措施（人员配备培训、服务响应时间及维护能力），对完结后的项目持续跟踪和答疑、技术人员对项目成果的回访调查和完善等方面，编制详细、可行的实施方案。</w:t>
            </w:r>
          </w:p>
          <w:p w14:paraId="56DC20B7">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（1）内容构思缜密、符合实际、完整详细，能够制定详细、具体方案，语言表述准确清晰，得</w:t>
            </w:r>
            <w:r>
              <w:rPr>
                <w:rFonts w:hint="eastAsia" w:cs="Times New Roman"/>
                <w:color w:val="auto"/>
                <w:szCs w:val="22"/>
                <w:highlight w:val="none"/>
                <w:lang w:val="en-US" w:eastAsia="zh-CN"/>
              </w:rPr>
              <w:t>4</w:t>
            </w:r>
            <w:r>
              <w:rPr>
                <w:rFonts w:hint="eastAsia" w:ascii="Times New Roman" w:hAnsi="Times New Roman" w:eastAsia="宋体" w:cs="Times New Roman"/>
                <w:color w:val="auto"/>
                <w:szCs w:val="22"/>
                <w:highlight w:val="none"/>
              </w:rPr>
              <w:t>分；</w:t>
            </w:r>
          </w:p>
          <w:p w14:paraId="15770437">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（2）内容解读具有比较可行性、合理性、能够基本满足本项目采购需求内容，为本项目制定较完善的工作方案，完 整和实用的得</w:t>
            </w:r>
            <w:r>
              <w:rPr>
                <w:rFonts w:hint="eastAsia" w:cs="Times New Roman"/>
                <w:color w:val="auto"/>
                <w:szCs w:val="22"/>
                <w:highlight w:val="none"/>
                <w:lang w:val="en-US" w:eastAsia="zh-CN"/>
              </w:rPr>
              <w:t>3</w:t>
            </w:r>
            <w:r>
              <w:rPr>
                <w:rFonts w:hint="eastAsia" w:ascii="Times New Roman" w:hAnsi="Times New Roman" w:eastAsia="宋体" w:cs="Times New Roman"/>
                <w:color w:val="auto"/>
                <w:szCs w:val="22"/>
                <w:highlight w:val="none"/>
              </w:rPr>
              <w:t>分；</w:t>
            </w:r>
          </w:p>
          <w:p w14:paraId="0059E266">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3</w:t>
            </w:r>
            <w:r>
              <w:rPr>
                <w:rFonts w:hint="eastAsia" w:ascii="Times New Roman" w:hAnsi="Times New Roman" w:eastAsia="宋体" w:cs="Times New Roman"/>
                <w:color w:val="auto"/>
                <w:szCs w:val="22"/>
                <w:highlight w:val="none"/>
              </w:rPr>
              <w:t>）方案内容有一定偏差，但不影响实质性内容表达，较具有针对性和可操作性，得2分；</w:t>
            </w:r>
          </w:p>
          <w:p w14:paraId="6DDF8546">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4</w:t>
            </w:r>
            <w:r>
              <w:rPr>
                <w:rFonts w:hint="eastAsia" w:ascii="Times New Roman" w:hAnsi="Times New Roman" w:eastAsia="宋体" w:cs="Times New Roman"/>
                <w:color w:val="auto"/>
                <w:szCs w:val="22"/>
                <w:highlight w:val="none"/>
              </w:rPr>
              <w:t>）有项目实施方案，但方案内容模糊，没有针对本 项目主要工作内容制定，内容不详实、不完整、内容不全面的得1分；</w:t>
            </w:r>
          </w:p>
          <w:p w14:paraId="6BC3C34A">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w:t>
            </w:r>
            <w:r>
              <w:rPr>
                <w:rFonts w:hint="default" w:ascii="Times New Roman" w:hAnsi="Times New Roman" w:eastAsia="宋体" w:cs="Times New Roman"/>
                <w:color w:val="auto"/>
                <w:szCs w:val="22"/>
                <w:highlight w:val="none"/>
              </w:rPr>
              <w:t>5</w:t>
            </w:r>
            <w:r>
              <w:rPr>
                <w:rFonts w:hint="eastAsia" w:ascii="Times New Roman" w:hAnsi="Times New Roman" w:eastAsia="宋体" w:cs="Times New Roman"/>
                <w:color w:val="auto"/>
                <w:szCs w:val="22"/>
                <w:highlight w:val="none"/>
              </w:rPr>
              <w:t>）没有内容的不得分。</w:t>
            </w:r>
          </w:p>
        </w:tc>
      </w:tr>
      <w:tr w14:paraId="3E3503C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right w:val="single" w:color="auto" w:sz="6" w:space="0"/>
            </w:tcBorders>
            <w:noWrap w:val="0"/>
            <w:vAlign w:val="center"/>
          </w:tcPr>
          <w:p w14:paraId="03859104">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项目组织机构人员配备</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E161B01">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项目负责人</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60937620">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5.00分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1C823F1C">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拟派项目负责人具有地质类、土壤类</w:t>
            </w:r>
            <w:r>
              <w:rPr>
                <w:rFonts w:hint="eastAsia" w:ascii="Calibri" w:hAnsi="Calibri" w:eastAsia="宋体" w:cs="Times New Roman"/>
                <w:color w:val="auto"/>
                <w:szCs w:val="22"/>
                <w:highlight w:val="none"/>
              </w:rPr>
              <w:t>、环境类、资源环境与遥感信息专业类</w:t>
            </w:r>
            <w:r>
              <w:rPr>
                <w:rFonts w:hint="eastAsia" w:ascii="Times New Roman" w:hAnsi="Times New Roman" w:eastAsia="宋体" w:cs="Times New Roman"/>
                <w:color w:val="auto"/>
                <w:szCs w:val="22"/>
                <w:highlight w:val="none"/>
              </w:rPr>
              <w:t>等相关专业高级及以上职称得5分；具备以上专业中级职称的得3分；具备以上专业初级职称的得1分。</w:t>
            </w:r>
          </w:p>
          <w:p w14:paraId="645B8E1A">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1"/>
                <w:highlight w:val="none"/>
              </w:rPr>
              <w:t>注：1、专业以职称证书或毕业证专业为准。2、须提供有效证书原件扫描件，否则不予计分。3、提供与项目负责人签订的劳动合同或聘用协议或提供202</w:t>
            </w:r>
            <w:r>
              <w:rPr>
                <w:rFonts w:hint="eastAsia" w:ascii="Times New Roman" w:hAnsi="Times New Roman" w:eastAsia="宋体" w:cs="Times New Roman"/>
                <w:color w:val="auto"/>
                <w:szCs w:val="21"/>
                <w:highlight w:val="none"/>
              </w:rPr>
              <w:t>5</w:t>
            </w:r>
            <w:r>
              <w:rPr>
                <w:rFonts w:hint="default" w:ascii="Times New Roman" w:hAnsi="Times New Roman" w:eastAsia="宋体" w:cs="Times New Roman"/>
                <w:color w:val="auto"/>
                <w:szCs w:val="21"/>
                <w:highlight w:val="none"/>
              </w:rPr>
              <w:t>年</w:t>
            </w:r>
            <w:r>
              <w:rPr>
                <w:rFonts w:hint="eastAsia" w:ascii="Times New Roman" w:hAnsi="Times New Roman" w:eastAsia="宋体" w:cs="Times New Roman"/>
                <w:color w:val="auto"/>
                <w:szCs w:val="21"/>
                <w:highlight w:val="none"/>
              </w:rPr>
              <w:t>10</w:t>
            </w:r>
            <w:r>
              <w:rPr>
                <w:rFonts w:hint="default" w:ascii="Times New Roman" w:hAnsi="Times New Roman" w:eastAsia="宋体" w:cs="Times New Roman"/>
                <w:color w:val="auto"/>
                <w:szCs w:val="21"/>
                <w:highlight w:val="none"/>
              </w:rPr>
              <w:t>月（含）以来</w:t>
            </w:r>
            <w:r>
              <w:rPr>
                <w:rFonts w:hint="eastAsia" w:ascii="Times New Roman" w:hAnsi="Times New Roman" w:eastAsia="宋体" w:cs="Times New Roman"/>
                <w:color w:val="auto"/>
                <w:szCs w:val="21"/>
                <w:highlight w:val="none"/>
              </w:rPr>
              <w:t>任意一个月为其缴纳社会养老保险证明材料</w:t>
            </w:r>
            <w:r>
              <w:rPr>
                <w:rFonts w:hint="default" w:ascii="Times New Roman" w:hAnsi="Times New Roman" w:eastAsia="宋体" w:cs="Times New Roman"/>
                <w:color w:val="auto"/>
                <w:szCs w:val="21"/>
                <w:highlight w:val="none"/>
              </w:rPr>
              <w:t>，扫描件上传至投标文件中，如投标人提供虚假材料谋取中标的，中标无效，依法承担法律责任。相关证明材料需清晰完整便于辨认，未提供或无法辨认的不得分。4、</w:t>
            </w:r>
            <w:r>
              <w:rPr>
                <w:rFonts w:hint="eastAsia" w:ascii="Times New Roman" w:hAnsi="Times New Roman" w:eastAsia="宋体" w:cs="Times New Roman"/>
                <w:color w:val="auto"/>
                <w:szCs w:val="21"/>
                <w:highlight w:val="none"/>
              </w:rPr>
              <w:t>成交</w:t>
            </w:r>
            <w:r>
              <w:rPr>
                <w:rFonts w:hint="default" w:ascii="Times New Roman" w:hAnsi="Times New Roman" w:eastAsia="宋体" w:cs="Times New Roman"/>
                <w:color w:val="auto"/>
                <w:szCs w:val="21"/>
                <w:highlight w:val="none"/>
              </w:rPr>
              <w:t>人提供的人员证书随</w:t>
            </w:r>
            <w:r>
              <w:rPr>
                <w:rFonts w:hint="eastAsia" w:ascii="Times New Roman" w:hAnsi="Times New Roman" w:eastAsia="宋体" w:cs="Times New Roman"/>
                <w:color w:val="auto"/>
                <w:szCs w:val="21"/>
                <w:highlight w:val="none"/>
              </w:rPr>
              <w:t>成交</w:t>
            </w:r>
            <w:r>
              <w:rPr>
                <w:rFonts w:hint="default" w:ascii="Times New Roman" w:hAnsi="Times New Roman" w:eastAsia="宋体" w:cs="Times New Roman"/>
                <w:color w:val="auto"/>
                <w:szCs w:val="21"/>
                <w:highlight w:val="none"/>
              </w:rPr>
              <w:t>结果同步公告。</w:t>
            </w:r>
          </w:p>
        </w:tc>
      </w:tr>
      <w:tr w14:paraId="3C6E25E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bottom w:val="single" w:color="auto" w:sz="6" w:space="0"/>
              <w:right w:val="single" w:color="auto" w:sz="6" w:space="0"/>
            </w:tcBorders>
            <w:noWrap w:val="0"/>
            <w:vAlign w:val="center"/>
          </w:tcPr>
          <w:p w14:paraId="327D20E0">
            <w:pPr>
              <w:jc w:val="left"/>
              <w:rPr>
                <w:rFonts w:hint="default" w:ascii="Times New Roman" w:hAnsi="Times New Roman" w:eastAsia="宋体" w:cs="Times New Roman"/>
                <w:color w:val="auto"/>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43014C9">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项目组人员配备</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503B1217">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20分</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5B92044E">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1、本项目拟派技术负责人：具有地质类、土壤类、环境类、</w:t>
            </w:r>
            <w:r>
              <w:rPr>
                <w:rFonts w:hint="eastAsia" w:ascii="Calibri" w:hAnsi="Calibri" w:eastAsia="宋体" w:cs="Times New Roman"/>
                <w:color w:val="auto"/>
                <w:szCs w:val="22"/>
                <w:highlight w:val="none"/>
              </w:rPr>
              <w:t>资源环境与遥感信息专业类</w:t>
            </w:r>
            <w:r>
              <w:rPr>
                <w:rFonts w:hint="eastAsia" w:ascii="Times New Roman" w:hAnsi="Times New Roman" w:eastAsia="宋体" w:cs="Times New Roman"/>
                <w:color w:val="auto"/>
                <w:szCs w:val="22"/>
                <w:highlight w:val="none"/>
              </w:rPr>
              <w:t>等相关专业高级及以上职称得5分；具备以上专业中级职称的得3分；具备以上专业初级职称的得1分。</w:t>
            </w:r>
          </w:p>
          <w:p w14:paraId="5BD2BDEF">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1"/>
                <w:highlight w:val="none"/>
              </w:rPr>
              <w:t>注：</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专业以职称证书或毕业证专业为准。</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须提供有效证书原件扫描件，否则不予计分。</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3</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提供与</w:t>
            </w:r>
            <w:r>
              <w:rPr>
                <w:rFonts w:hint="eastAsia" w:ascii="Times New Roman" w:hAnsi="Times New Roman" w:eastAsia="宋体" w:cs="Times New Roman"/>
                <w:color w:val="auto"/>
                <w:szCs w:val="21"/>
                <w:highlight w:val="none"/>
              </w:rPr>
              <w:t>技术</w:t>
            </w:r>
            <w:r>
              <w:rPr>
                <w:rFonts w:hint="default" w:ascii="Times New Roman" w:hAnsi="Times New Roman" w:eastAsia="宋体" w:cs="Times New Roman"/>
                <w:color w:val="auto"/>
                <w:szCs w:val="21"/>
                <w:highlight w:val="none"/>
              </w:rPr>
              <w:t>负责人签订的劳动合同或聘用协议或提供202</w:t>
            </w:r>
            <w:r>
              <w:rPr>
                <w:rFonts w:hint="eastAsia" w:ascii="Times New Roman" w:hAnsi="Times New Roman" w:eastAsia="宋体" w:cs="Times New Roman"/>
                <w:color w:val="auto"/>
                <w:szCs w:val="21"/>
                <w:highlight w:val="none"/>
              </w:rPr>
              <w:t>5</w:t>
            </w:r>
            <w:r>
              <w:rPr>
                <w:rFonts w:hint="default" w:ascii="Times New Roman" w:hAnsi="Times New Roman" w:eastAsia="宋体" w:cs="Times New Roman"/>
                <w:color w:val="auto"/>
                <w:szCs w:val="21"/>
                <w:highlight w:val="none"/>
              </w:rPr>
              <w:t>年1</w:t>
            </w:r>
            <w:r>
              <w:rPr>
                <w:rFonts w:hint="eastAsia" w:ascii="Times New Roman" w:hAnsi="Times New Roman" w:eastAsia="宋体" w:cs="Times New Roman"/>
                <w:color w:val="auto"/>
                <w:szCs w:val="21"/>
                <w:highlight w:val="none"/>
              </w:rPr>
              <w:t>0</w:t>
            </w:r>
            <w:r>
              <w:rPr>
                <w:rFonts w:hint="default" w:ascii="Times New Roman" w:hAnsi="Times New Roman" w:eastAsia="宋体" w:cs="Times New Roman"/>
                <w:color w:val="auto"/>
                <w:szCs w:val="21"/>
                <w:highlight w:val="none"/>
              </w:rPr>
              <w:t>月（含）以来</w:t>
            </w:r>
            <w:r>
              <w:rPr>
                <w:rFonts w:hint="eastAsia" w:ascii="Times New Roman" w:hAnsi="Times New Roman" w:eastAsia="宋体" w:cs="Times New Roman"/>
                <w:color w:val="auto"/>
                <w:szCs w:val="21"/>
                <w:highlight w:val="none"/>
              </w:rPr>
              <w:t>任意一个月为其缴纳社会养老保险证明材料</w:t>
            </w:r>
            <w:r>
              <w:rPr>
                <w:rFonts w:hint="default" w:ascii="Times New Roman" w:hAnsi="Times New Roman" w:eastAsia="宋体" w:cs="Times New Roman"/>
                <w:color w:val="auto"/>
                <w:szCs w:val="21"/>
                <w:highlight w:val="none"/>
              </w:rPr>
              <w:t>，扫描件上传至投标文件中，如投标人提供虚假材料谋取中标的，中标无效，依法承担法律责任。相关证明材料需清晰完整便于辨认，未提供或无法辨认的不得分。</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4</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成交</w:t>
            </w:r>
            <w:r>
              <w:rPr>
                <w:rFonts w:hint="default" w:ascii="Times New Roman" w:hAnsi="Times New Roman" w:eastAsia="宋体" w:cs="Times New Roman"/>
                <w:color w:val="auto"/>
                <w:szCs w:val="21"/>
                <w:highlight w:val="none"/>
              </w:rPr>
              <w:t>人提供的人员证书随</w:t>
            </w:r>
            <w:r>
              <w:rPr>
                <w:rFonts w:hint="eastAsia" w:ascii="Times New Roman" w:hAnsi="Times New Roman" w:eastAsia="宋体" w:cs="Times New Roman"/>
                <w:color w:val="auto"/>
                <w:szCs w:val="21"/>
                <w:highlight w:val="none"/>
              </w:rPr>
              <w:t>成交</w:t>
            </w:r>
            <w:r>
              <w:rPr>
                <w:rFonts w:hint="default" w:ascii="Times New Roman" w:hAnsi="Times New Roman" w:eastAsia="宋体" w:cs="Times New Roman"/>
                <w:color w:val="auto"/>
                <w:szCs w:val="21"/>
                <w:highlight w:val="none"/>
              </w:rPr>
              <w:t>结果同步公告。</w:t>
            </w:r>
          </w:p>
          <w:p w14:paraId="2CF1E1EC">
            <w:pPr>
              <w:jc w:val="left"/>
              <w:rPr>
                <w:rFonts w:hint="default"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2、拟投入项目组成员（不包含项目负责人及技术负责人）其中每有一人具有</w:t>
            </w:r>
            <w:r>
              <w:rPr>
                <w:rFonts w:hint="eastAsia" w:ascii="Calibri" w:hAnsi="Calibri" w:eastAsia="宋体" w:cs="Times New Roman"/>
                <w:color w:val="auto"/>
                <w:szCs w:val="22"/>
                <w:highlight w:val="none"/>
              </w:rPr>
              <w:t>农业资源与环境、资源环境与遥感信息、土地资源管理、生态学、农学、测绘类、环境类、土壤类、地质类、化学</w:t>
            </w:r>
            <w:r>
              <w:rPr>
                <w:rFonts w:hint="eastAsia" w:ascii="Calibri" w:hAnsi="Calibri" w:eastAsia="宋体" w:cs="Times New Roman"/>
                <w:b/>
                <w:bCs/>
                <w:color w:val="auto"/>
                <w:szCs w:val="22"/>
                <w:highlight w:val="none"/>
              </w:rPr>
              <w:t>或</w:t>
            </w:r>
            <w:r>
              <w:rPr>
                <w:rFonts w:hint="eastAsia" w:ascii="Calibri" w:hAnsi="Calibri" w:eastAsia="宋体" w:cs="Times New Roman"/>
                <w:color w:val="auto"/>
                <w:szCs w:val="22"/>
                <w:highlight w:val="none"/>
              </w:rPr>
              <w:t>化工类等专业本科及以上学历（或中级及以上职称）</w:t>
            </w:r>
            <w:r>
              <w:rPr>
                <w:rFonts w:hint="eastAsia" w:ascii="Times New Roman" w:hAnsi="Times New Roman" w:eastAsia="宋体" w:cs="Times New Roman"/>
                <w:color w:val="auto"/>
                <w:szCs w:val="22"/>
                <w:highlight w:val="none"/>
              </w:rPr>
              <w:t>的，得1分/人，同一人员只计分1次；本项最高得15分。</w:t>
            </w:r>
          </w:p>
          <w:p w14:paraId="4609710A">
            <w:pPr>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注：（1）提供以上拟派人员详细</w:t>
            </w:r>
            <w:r>
              <w:rPr>
                <w:rFonts w:hint="eastAsia" w:ascii="Times New Roman" w:hAnsi="Times New Roman" w:eastAsia="宋体" w:cs="Times New Roman"/>
                <w:color w:val="auto"/>
                <w:szCs w:val="21"/>
                <w:highlight w:val="none"/>
              </w:rPr>
              <w:t>名单</w:t>
            </w:r>
            <w:r>
              <w:rPr>
                <w:rFonts w:hint="default" w:ascii="Times New Roman" w:hAnsi="Times New Roman" w:eastAsia="宋体" w:cs="Times New Roman"/>
                <w:color w:val="auto"/>
                <w:szCs w:val="21"/>
                <w:highlight w:val="none"/>
              </w:rPr>
              <w:t>及证书索引表以便于评委查询。（2）拟派人员须为本单位正式职工，投标时提供双方签订的劳动合同或提供为其缴纳的202</w:t>
            </w:r>
            <w:r>
              <w:rPr>
                <w:rFonts w:hint="eastAsia" w:ascii="Times New Roman" w:hAnsi="Times New Roman" w:eastAsia="宋体" w:cs="Times New Roman"/>
                <w:color w:val="auto"/>
                <w:szCs w:val="21"/>
                <w:highlight w:val="none"/>
              </w:rPr>
              <w:t>5</w:t>
            </w:r>
            <w:r>
              <w:rPr>
                <w:rFonts w:hint="default" w:ascii="Times New Roman" w:hAnsi="Times New Roman" w:eastAsia="宋体" w:cs="Times New Roman"/>
                <w:color w:val="auto"/>
                <w:szCs w:val="21"/>
                <w:highlight w:val="none"/>
              </w:rPr>
              <w:t>年1</w:t>
            </w:r>
            <w:r>
              <w:rPr>
                <w:rFonts w:hint="eastAsia" w:ascii="Times New Roman" w:hAnsi="Times New Roman" w:eastAsia="宋体" w:cs="Times New Roman"/>
                <w:color w:val="auto"/>
                <w:szCs w:val="21"/>
                <w:highlight w:val="none"/>
              </w:rPr>
              <w:t>0</w:t>
            </w:r>
            <w:r>
              <w:rPr>
                <w:rFonts w:hint="default" w:ascii="Times New Roman" w:hAnsi="Times New Roman" w:eastAsia="宋体" w:cs="Times New Roman"/>
                <w:color w:val="auto"/>
                <w:szCs w:val="21"/>
                <w:highlight w:val="none"/>
              </w:rPr>
              <w:t>月（含）以来任意一个月的养老保险</w:t>
            </w:r>
            <w:r>
              <w:rPr>
                <w:rFonts w:hint="eastAsia" w:ascii="Times New Roman" w:hAnsi="Times New Roman" w:eastAsia="宋体" w:cs="Times New Roman"/>
                <w:color w:val="auto"/>
                <w:szCs w:val="21"/>
                <w:highlight w:val="none"/>
              </w:rPr>
              <w:t>缴费</w:t>
            </w:r>
            <w:r>
              <w:rPr>
                <w:rFonts w:hint="default" w:ascii="Times New Roman" w:hAnsi="Times New Roman" w:eastAsia="宋体" w:cs="Times New Roman"/>
                <w:color w:val="auto"/>
                <w:szCs w:val="21"/>
                <w:highlight w:val="none"/>
              </w:rPr>
              <w:t>证明材料</w:t>
            </w:r>
            <w:r>
              <w:rPr>
                <w:rFonts w:hint="eastAsia"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rPr>
              <w:t>投标截止日前成立不足6个月的新办企业提供成立以来任意一个月的养老保险缴纳证明。</w:t>
            </w:r>
            <w:r>
              <w:rPr>
                <w:rFonts w:hint="eastAsia" w:ascii="Times New Roman" w:hAnsi="Times New Roman" w:eastAsia="宋体" w:cs="Times New Roman"/>
                <w:color w:val="auto"/>
                <w:szCs w:val="21"/>
                <w:highlight w:val="none"/>
              </w:rPr>
              <w:t>相关</w:t>
            </w:r>
            <w:r>
              <w:rPr>
                <w:rFonts w:hint="default" w:ascii="Times New Roman" w:hAnsi="Times New Roman" w:eastAsia="宋体" w:cs="Times New Roman"/>
                <w:color w:val="auto"/>
                <w:szCs w:val="21"/>
                <w:highlight w:val="none"/>
              </w:rPr>
              <w:t>证明材料需清晰可见，未提供或无法辨认的不得分。（3）专业以职称证书或毕业证专业为准</w:t>
            </w:r>
            <w:r>
              <w:rPr>
                <w:rFonts w:hint="eastAsia"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rPr>
              <w:t>须提供有效证书原件扫描件，否则不予计分。</w:t>
            </w:r>
            <w:r>
              <w:rPr>
                <w:rFonts w:hint="eastAsia" w:ascii="Times New Roman" w:hAnsi="Times New Roman" w:eastAsia="宋体" w:cs="Times New Roman"/>
                <w:color w:val="auto"/>
                <w:szCs w:val="21"/>
                <w:highlight w:val="none"/>
              </w:rPr>
              <w:t>（4）</w:t>
            </w:r>
            <w:r>
              <w:rPr>
                <w:rFonts w:hint="default" w:ascii="Times New Roman" w:hAnsi="Times New Roman" w:eastAsia="宋体" w:cs="Times New Roman"/>
                <w:color w:val="auto"/>
                <w:szCs w:val="21"/>
                <w:highlight w:val="none"/>
              </w:rPr>
              <w:t>成交人上述资料将随成交结果同步公开</w:t>
            </w:r>
            <w:r>
              <w:rPr>
                <w:rFonts w:hint="eastAsia" w:ascii="Times New Roman" w:hAnsi="Times New Roman" w:eastAsia="宋体" w:cs="Times New Roman"/>
                <w:color w:val="auto"/>
                <w:szCs w:val="21"/>
                <w:highlight w:val="none"/>
              </w:rPr>
              <w:t>。</w:t>
            </w:r>
          </w:p>
        </w:tc>
      </w:tr>
    </w:tbl>
    <w:p w14:paraId="6AADB94F">
      <w:pPr>
        <w:rPr>
          <w:color w:val="auto"/>
          <w:highlight w:val="none"/>
        </w:rPr>
      </w:pPr>
    </w:p>
    <w:p w14:paraId="6CD331C9">
      <w:pPr>
        <w:keepNext w:val="0"/>
        <w:keepLines w:val="0"/>
        <w:pageBreakBefore w:val="0"/>
        <w:widowControl w:val="0"/>
        <w:numPr>
          <w:ilvl w:val="0"/>
          <w:numId w:val="0"/>
        </w:numPr>
        <w:spacing w:afterAutospacing="0" w:line="400" w:lineRule="exact"/>
        <w:rPr>
          <w:rFonts w:hint="default" w:ascii="Times New Roman" w:hAnsi="Times New Roman" w:eastAsia="宋体" w:cs="Times New Roman"/>
          <w:caps w:val="0"/>
          <w:color w:val="auto"/>
          <w:sz w:val="24"/>
          <w:szCs w:val="24"/>
          <w:highlight w:val="none"/>
          <w:lang w:eastAsia="zh-CN"/>
        </w:rPr>
      </w:pPr>
      <w:r>
        <w:rPr>
          <w:rFonts w:hint="default" w:ascii="Times New Roman" w:hAnsi="Times New Roman" w:eastAsia="宋体" w:cs="Times New Roman"/>
          <w:b/>
          <w:caps w:val="0"/>
          <w:color w:val="auto"/>
          <w:sz w:val="24"/>
          <w:szCs w:val="24"/>
          <w:highlight w:val="none"/>
          <w:lang w:val="en-US" w:eastAsia="zh-CN"/>
        </w:rPr>
        <w:t>（三）</w:t>
      </w:r>
      <w:r>
        <w:rPr>
          <w:rFonts w:hint="default" w:ascii="Times New Roman" w:hAnsi="Times New Roman" w:eastAsia="宋体" w:cs="Times New Roman"/>
          <w:b/>
          <w:caps w:val="0"/>
          <w:color w:val="auto"/>
          <w:sz w:val="24"/>
          <w:szCs w:val="24"/>
          <w:highlight w:val="none"/>
        </w:rPr>
        <w:t>评标结果。</w:t>
      </w:r>
      <w:r>
        <w:rPr>
          <w:rFonts w:hint="default" w:ascii="Times New Roman" w:hAnsi="Times New Roman" w:eastAsia="宋体" w:cs="Times New Roman"/>
          <w:caps w:val="0"/>
          <w:color w:val="auto"/>
          <w:sz w:val="24"/>
          <w:szCs w:val="24"/>
          <w:highlight w:val="none"/>
        </w:rPr>
        <w:t>评标委员会按照本办法规定推荐中标候选人，并形成评标报告</w:t>
      </w:r>
      <w:r>
        <w:rPr>
          <w:rFonts w:hint="default" w:ascii="Times New Roman" w:hAnsi="Times New Roman" w:eastAsia="宋体" w:cs="Times New Roman"/>
          <w:caps w:val="0"/>
          <w:color w:val="auto"/>
          <w:sz w:val="24"/>
          <w:szCs w:val="24"/>
          <w:highlight w:val="none"/>
          <w:lang w:eastAsia="zh-CN"/>
        </w:rPr>
        <w:t>。</w:t>
      </w:r>
    </w:p>
    <w:p w14:paraId="58F751D3">
      <w:pPr>
        <w:keepNext w:val="0"/>
        <w:keepLines w:val="0"/>
        <w:pageBreakBefore w:val="0"/>
        <w:widowControl w:val="0"/>
        <w:numPr>
          <w:ilvl w:val="0"/>
          <w:numId w:val="0"/>
        </w:numPr>
        <w:spacing w:afterAutospacing="0" w:line="400" w:lineRule="exact"/>
        <w:rPr>
          <w:rFonts w:hint="default" w:ascii="Times New Roman" w:hAnsi="Times New Roman" w:eastAsia="宋体" w:cs="Times New Roman"/>
          <w:b/>
          <w:bCs/>
          <w:caps w:val="0"/>
          <w:color w:val="auto"/>
          <w:sz w:val="24"/>
          <w:szCs w:val="24"/>
          <w:highlight w:val="none"/>
          <w:lang w:val="en-US" w:eastAsia="zh-CN"/>
        </w:rPr>
      </w:pPr>
      <w:r>
        <w:rPr>
          <w:rFonts w:hint="default" w:ascii="Times New Roman" w:hAnsi="Times New Roman" w:eastAsia="宋体" w:cs="Times New Roman"/>
          <w:b/>
          <w:caps w:val="0"/>
          <w:color w:val="auto"/>
          <w:sz w:val="24"/>
          <w:szCs w:val="24"/>
          <w:highlight w:val="none"/>
          <w:lang w:val="en-US" w:eastAsia="zh-CN"/>
        </w:rPr>
        <w:t>（四）政府采购政策功能落实</w:t>
      </w:r>
    </w:p>
    <w:p w14:paraId="096891C3">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本项目落实的政府采购政策对应以下序号为</w:t>
      </w:r>
      <w:r>
        <w:rPr>
          <w:rFonts w:hint="eastAsia" w:ascii="宋体" w:hAnsi="宋体" w:eastAsia="宋体" w:cs="宋体"/>
          <w:b/>
          <w:bCs/>
          <w:color w:val="auto"/>
          <w:sz w:val="24"/>
          <w:szCs w:val="24"/>
          <w:highlight w:val="none"/>
          <w:u w:val="single"/>
        </w:rPr>
        <w:t xml:space="preserve"> 1、 2</w:t>
      </w:r>
    </w:p>
    <w:p w14:paraId="60531E49">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1、采购本国货物、工程和服务</w:t>
      </w:r>
      <w:bookmarkStart w:id="235" w:name="_GoBack"/>
      <w:bookmarkEnd w:id="235"/>
    </w:p>
    <w:p w14:paraId="295F0436">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09486700">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2、中小企业政策</w:t>
      </w:r>
    </w:p>
    <w:p w14:paraId="7586612E">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本项目按以下第（2）种政策确定本项目落实的中小企业政策：</w:t>
      </w:r>
    </w:p>
    <w:p w14:paraId="195FD780">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（1）本项目专门面向中小企业（含监狱企业、残疾人福利企业）采购。</w:t>
      </w:r>
    </w:p>
    <w:p w14:paraId="6BF93B41">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（2）投标人提供的服务符合下列情形的，对小微企业报价给予</w:t>
      </w:r>
      <w:r>
        <w:rPr>
          <w:rFonts w:hint="eastAsia" w:ascii="宋体" w:hAnsi="宋体" w:eastAsia="宋体" w:cs="宋体"/>
          <w:b/>
          <w:bCs/>
          <w:color w:val="auto"/>
          <w:sz w:val="24"/>
          <w:szCs w:val="24"/>
          <w:highlight w:val="none"/>
          <w:u w:val="single"/>
        </w:rPr>
        <w:t>10%</w:t>
      </w:r>
      <w:r>
        <w:rPr>
          <w:rFonts w:hint="eastAsia" w:ascii="宋体" w:hAnsi="宋体" w:eastAsia="宋体" w:cs="宋体"/>
          <w:color w:val="auto"/>
          <w:sz w:val="24"/>
          <w:szCs w:val="24"/>
          <w:highlight w:val="none"/>
        </w:rPr>
        <w:t>的扣除，用扣除后的价格参加评审。</w:t>
      </w:r>
    </w:p>
    <w:p w14:paraId="6BE4E12A">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在服务采购项目中，服务由中小企业承接，即提供服务的人员为中小企业依照《中华人民共和国民法典》订立劳动合同的从业人员。</w:t>
      </w:r>
    </w:p>
    <w:p w14:paraId="6BF997F3">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288B5100">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52889386">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04F4B2A">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5B821A51">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3、政府采购节能产品、环境标志产品</w:t>
      </w:r>
    </w:p>
    <w:p w14:paraId="038090DB">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2CC1633F">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（2）采购人拟采购的产品属于政府强制采购的节能产品品目清单范围的，投标人须提供国家确定的认证机构出具的、处于有效期之内的节能产品认证证书的，否则无效标处理。</w:t>
      </w:r>
    </w:p>
    <w:p w14:paraId="75FABBC3">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（3）采购人拟采购的产品属于优先采购的节能环保品目清单范围的，按以下条件优先采购：</w:t>
      </w:r>
    </w:p>
    <w:p w14:paraId="75E03341">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采用综合评分法的项目，对提供有效节能环保证书的投标人加分。</w:t>
      </w:r>
    </w:p>
    <w:p w14:paraId="72027555">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采用最低评标价法的项目，同等条件下优先推荐提供有效节能环保证书多的投标人为中标人。</w:t>
      </w:r>
    </w:p>
    <w:p w14:paraId="794330B0">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4、商品包装、快递包装政府采购需求标准（试行）</w:t>
      </w:r>
    </w:p>
    <w:p w14:paraId="4375E72A">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3A6EE041">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5、绿色数据中心政府采购需求标准（试行）</w:t>
      </w:r>
    </w:p>
    <w:p w14:paraId="14583132">
      <w:pPr>
        <w:rPr>
          <w:color w:val="auto"/>
          <w:highlight w:val="none"/>
        </w:rPr>
      </w:pPr>
      <w:r>
        <w:rPr>
          <w:rFonts w:hint="eastAsia" w:ascii="宋体" w:hAnsi="宋体" w:eastAsia="宋体" w:cs="宋体"/>
          <w:color w:val="auto"/>
          <w:sz w:val="24"/>
          <w:szCs w:val="24"/>
          <w:highlight w:val="none"/>
        </w:rPr>
        <w:t>为加快数据中心绿色转型，根据财政部、生态环境部、工业和信息化部关于印发《绿色数据中心政府采购需求标准（试行）》的通知，本项目如涉及绿色数据中心，具体需求详见第四章采购需求。</w:t>
      </w:r>
    </w:p>
    <w:p w14:paraId="50D73C7D">
      <w:pPr>
        <w:pStyle w:val="269"/>
        <w:rPr>
          <w:rFonts w:ascii="Times New Roman" w:hAnsi="Times New Roman"/>
          <w:color w:val="auto"/>
          <w:highlight w:val="none"/>
        </w:rPr>
      </w:pPr>
    </w:p>
    <w:p w14:paraId="53E44E3C">
      <w:pPr>
        <w:pStyle w:val="267"/>
        <w:rPr>
          <w:rFonts w:ascii="Times New Roman" w:hAnsi="Times New Roman"/>
          <w:color w:val="auto"/>
          <w:highlight w:val="none"/>
        </w:rPr>
      </w:pPr>
    </w:p>
    <w:p w14:paraId="15542263">
      <w:pPr>
        <w:pStyle w:val="267"/>
        <w:rPr>
          <w:rFonts w:ascii="Times New Roman" w:hAnsi="Times New Roman"/>
          <w:color w:val="auto"/>
          <w:highlight w:val="none"/>
        </w:rPr>
      </w:pPr>
    </w:p>
    <w:p w14:paraId="082CF24F">
      <w:pPr>
        <w:rPr>
          <w:color w:val="auto"/>
          <w:highlight w:val="none"/>
        </w:rPr>
      </w:pPr>
    </w:p>
    <w:p w14:paraId="425F0F01">
      <w:pPr>
        <w:pStyle w:val="183"/>
        <w:rPr>
          <w:rFonts w:hint="eastAsia" w:ascii="Times New Roman" w:eastAsia="黑体"/>
          <w:bCs/>
          <w:color w:val="auto"/>
          <w:sz w:val="44"/>
          <w:highlight w:val="none"/>
        </w:rPr>
        <w:sectPr>
          <w:footerReference r:id="rId5" w:type="first"/>
          <w:headerReference r:id="rId3" w:type="default"/>
          <w:footerReference r:id="rId4" w:type="default"/>
          <w:pgSz w:w="11906" w:h="16838"/>
          <w:pgMar w:top="1418" w:right="1588" w:bottom="1418" w:left="1365" w:header="851" w:footer="907" w:gutter="0"/>
          <w:pgBorders>
            <w:top w:val="none" w:sz="0" w:space="0"/>
            <w:left w:val="none" w:sz="0" w:space="0"/>
            <w:bottom w:val="none" w:sz="0" w:space="0"/>
            <w:right w:val="none" w:sz="0" w:space="0"/>
          </w:pgBorders>
          <w:pgNumType w:start="1"/>
          <w:cols w:space="1701" w:num="1"/>
          <w:titlePg/>
          <w:docGrid w:linePitch="360" w:charSpace="0"/>
        </w:sectPr>
      </w:pPr>
    </w:p>
    <w:p w14:paraId="6885CE17">
      <w:pPr>
        <w:pStyle w:val="183"/>
        <w:rPr>
          <w:rFonts w:ascii="Times New Roman" w:eastAsia="黑体"/>
          <w:bCs/>
          <w:color w:val="auto"/>
          <w:sz w:val="44"/>
          <w:highlight w:val="none"/>
        </w:rPr>
      </w:pPr>
      <w:r>
        <w:rPr>
          <w:rFonts w:hint="eastAsia" w:ascii="Times New Roman" w:eastAsia="黑体"/>
          <w:bCs/>
          <w:color w:val="auto"/>
          <w:sz w:val="44"/>
          <w:highlight w:val="none"/>
        </w:rPr>
        <w:t>第六章  投标</w:t>
      </w:r>
      <w:bookmarkEnd w:id="202"/>
      <w:bookmarkEnd w:id="203"/>
      <w:bookmarkEnd w:id="205"/>
      <w:r>
        <w:rPr>
          <w:rFonts w:hint="eastAsia" w:ascii="Times New Roman" w:eastAsia="黑体"/>
          <w:bCs/>
          <w:color w:val="auto"/>
          <w:sz w:val="44"/>
          <w:highlight w:val="none"/>
        </w:rPr>
        <w:t xml:space="preserve">文件格式 </w:t>
      </w:r>
    </w:p>
    <w:p w14:paraId="3DBD6931">
      <w:pPr>
        <w:jc w:val="center"/>
        <w:rPr>
          <w:b/>
          <w:color w:val="auto"/>
          <w:sz w:val="72"/>
          <w:highlight w:val="none"/>
        </w:rPr>
      </w:pPr>
      <w:bookmarkStart w:id="206" w:name="_Hlt26671244"/>
      <w:bookmarkEnd w:id="206"/>
      <w:bookmarkStart w:id="207" w:name="_Hlt26955039"/>
      <w:bookmarkEnd w:id="207"/>
      <w:bookmarkStart w:id="208" w:name="_Toc49090576"/>
      <w:bookmarkStart w:id="209" w:name="_Toc26554094"/>
      <w:bookmarkStart w:id="210" w:name="_Toc120614282"/>
    </w:p>
    <w:p w14:paraId="3B2B31AE">
      <w:pPr>
        <w:jc w:val="center"/>
        <w:rPr>
          <w:b/>
          <w:color w:val="auto"/>
          <w:sz w:val="72"/>
          <w:highlight w:val="none"/>
        </w:rPr>
      </w:pPr>
      <w:r>
        <w:rPr>
          <w:rFonts w:hint="eastAsia"/>
          <w:b/>
          <w:color w:val="auto"/>
          <w:sz w:val="72"/>
          <w:highlight w:val="none"/>
        </w:rPr>
        <w:t>投  标  文  件</w:t>
      </w:r>
    </w:p>
    <w:p w14:paraId="4E3854A6">
      <w:pPr>
        <w:jc w:val="center"/>
        <w:rPr>
          <w:b/>
          <w:color w:val="auto"/>
          <w:sz w:val="72"/>
          <w:highlight w:val="none"/>
        </w:rPr>
      </w:pPr>
    </w:p>
    <w:p w14:paraId="6FEDFF30">
      <w:pPr>
        <w:jc w:val="center"/>
        <w:rPr>
          <w:b/>
          <w:color w:val="auto"/>
          <w:sz w:val="72"/>
          <w:highlight w:val="none"/>
        </w:rPr>
      </w:pPr>
    </w:p>
    <w:p w14:paraId="60455EA1">
      <w:pPr>
        <w:jc w:val="center"/>
        <w:rPr>
          <w:b/>
          <w:color w:val="auto"/>
          <w:sz w:val="36"/>
          <w:highlight w:val="none"/>
        </w:rPr>
      </w:pPr>
    </w:p>
    <w:p w14:paraId="0D7C52C9">
      <w:pPr>
        <w:jc w:val="center"/>
        <w:rPr>
          <w:b/>
          <w:color w:val="auto"/>
          <w:sz w:val="36"/>
          <w:highlight w:val="none"/>
        </w:rPr>
      </w:pPr>
    </w:p>
    <w:p w14:paraId="49C0EC56">
      <w:pPr>
        <w:jc w:val="center"/>
        <w:rPr>
          <w:b/>
          <w:color w:val="auto"/>
          <w:sz w:val="36"/>
          <w:highlight w:val="none"/>
        </w:rPr>
      </w:pPr>
    </w:p>
    <w:p w14:paraId="7B4C936D">
      <w:pPr>
        <w:ind w:firstLine="1084"/>
        <w:rPr>
          <w:b/>
          <w:color w:val="auto"/>
          <w:sz w:val="36"/>
          <w:highlight w:val="none"/>
        </w:rPr>
      </w:pPr>
      <w:r>
        <w:rPr>
          <w:rFonts w:hint="eastAsia"/>
          <w:b/>
          <w:color w:val="auto"/>
          <w:sz w:val="36"/>
          <w:highlight w:val="none"/>
        </w:rPr>
        <w:t>项 目 名 称：</w:t>
      </w:r>
    </w:p>
    <w:p w14:paraId="75718ED1">
      <w:pPr>
        <w:ind w:firstLine="1084"/>
        <w:rPr>
          <w:b/>
          <w:color w:val="auto"/>
          <w:sz w:val="36"/>
          <w:highlight w:val="none"/>
          <w:u w:val="single"/>
        </w:rPr>
      </w:pPr>
      <w:r>
        <w:rPr>
          <w:rFonts w:hint="eastAsia"/>
          <w:b/>
          <w:color w:val="auto"/>
          <w:sz w:val="36"/>
          <w:highlight w:val="none"/>
        </w:rPr>
        <w:t>项 目 编 号：</w:t>
      </w:r>
    </w:p>
    <w:p w14:paraId="360C1627">
      <w:pPr>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（加盖CA电子公章）</w:t>
      </w:r>
    </w:p>
    <w:p w14:paraId="7F243D9A">
      <w:pPr>
        <w:rPr>
          <w:b/>
          <w:color w:val="auto"/>
          <w:sz w:val="36"/>
          <w:highlight w:val="none"/>
          <w:u w:val="single"/>
        </w:rPr>
      </w:pPr>
      <w:r>
        <w:rPr>
          <w:rFonts w:hint="eastAsia"/>
          <w:b/>
          <w:color w:val="auto"/>
          <w:sz w:val="36"/>
          <w:highlight w:val="none"/>
        </w:rPr>
        <w:t xml:space="preserve">      日      期 ：</w:t>
      </w:r>
    </w:p>
    <w:p w14:paraId="511F36D0">
      <w:pPr>
        <w:spacing w:line="440" w:lineRule="exact"/>
        <w:jc w:val="center"/>
        <w:rPr>
          <w:b/>
          <w:bCs/>
          <w:color w:val="auto"/>
          <w:sz w:val="32"/>
          <w:szCs w:val="32"/>
          <w:highlight w:val="none"/>
        </w:rPr>
      </w:pPr>
    </w:p>
    <w:p w14:paraId="74CC1263">
      <w:pPr>
        <w:spacing w:line="440" w:lineRule="exact"/>
        <w:rPr>
          <w:color w:val="auto"/>
          <w:highlight w:val="none"/>
        </w:rPr>
      </w:pPr>
    </w:p>
    <w:p w14:paraId="7373C69F">
      <w:pPr>
        <w:ind w:firstLine="1084"/>
        <w:rPr>
          <w:b/>
          <w:bCs/>
          <w:color w:val="auto"/>
          <w:sz w:val="32"/>
          <w:szCs w:val="32"/>
          <w:highlight w:val="none"/>
        </w:rPr>
      </w:pPr>
      <w:r>
        <w:rPr>
          <w:b/>
          <w:color w:val="auto"/>
          <w:sz w:val="36"/>
          <w:highlight w:val="none"/>
          <w:u w:val="single"/>
        </w:rPr>
        <w:br w:type="page" w:clear="all"/>
      </w:r>
    </w:p>
    <w:p w14:paraId="37012E69">
      <w:pPr>
        <w:spacing w:line="440" w:lineRule="exact"/>
        <w:jc w:val="center"/>
        <w:rPr>
          <w:b/>
          <w:bCs/>
          <w:color w:val="auto"/>
          <w:sz w:val="32"/>
          <w:szCs w:val="32"/>
          <w:highlight w:val="none"/>
        </w:rPr>
      </w:pPr>
      <w:r>
        <w:rPr>
          <w:rFonts w:hint="eastAsia"/>
          <w:b/>
          <w:bCs/>
          <w:color w:val="auto"/>
          <w:sz w:val="32"/>
          <w:szCs w:val="32"/>
          <w:highlight w:val="none"/>
        </w:rPr>
        <w:t>投标文件目录</w:t>
      </w:r>
    </w:p>
    <w:p w14:paraId="1D576597">
      <w:pPr>
        <w:spacing w:line="440" w:lineRule="exact"/>
        <w:jc w:val="center"/>
        <w:rPr>
          <w:b/>
          <w:bCs/>
          <w:color w:val="auto"/>
          <w:sz w:val="32"/>
          <w:szCs w:val="32"/>
          <w:highlight w:val="none"/>
        </w:rPr>
      </w:pPr>
    </w:p>
    <w:bookmarkEnd w:id="196"/>
    <w:bookmarkEnd w:id="197"/>
    <w:bookmarkEnd w:id="208"/>
    <w:bookmarkEnd w:id="209"/>
    <w:bookmarkEnd w:id="210"/>
    <w:p w14:paraId="3CF7395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一、投标声明及承诺函</w:t>
      </w:r>
    </w:p>
    <w:p w14:paraId="564F246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二、投标人基本情况</w:t>
      </w:r>
    </w:p>
    <w:p w14:paraId="6DAFF67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三、满足特定资格要求的证明文件</w:t>
      </w:r>
      <w:r>
        <w:rPr>
          <w:rFonts w:hint="eastAsia" w:ascii="宋体" w:hAnsi="宋体" w:eastAsia="宋体" w:cs="宋体"/>
          <w:color w:val="auto"/>
          <w:sz w:val="24"/>
          <w:szCs w:val="24"/>
          <w:highlight w:val="none"/>
        </w:rPr>
        <w:t>（如果设置特定资格要求，则需要提供）</w:t>
      </w:r>
    </w:p>
    <w:p w14:paraId="76945741">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四、法人授权书</w:t>
      </w:r>
    </w:p>
    <w:p w14:paraId="5326B79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1BC665B6">
      <w:pPr>
        <w:spacing w:line="60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六、</w:t>
      </w:r>
      <w:r>
        <w:rPr>
          <w:rFonts w:hint="eastAsia" w:ascii="宋体" w:hAnsi="宋体" w:eastAsia="宋体" w:cs="宋体"/>
          <w:color w:val="auto"/>
          <w:sz w:val="28"/>
          <w:szCs w:val="28"/>
          <w:highlight w:val="none"/>
          <w:lang w:eastAsia="zh-CN"/>
        </w:rPr>
        <w:t>分项报价表</w:t>
      </w:r>
    </w:p>
    <w:p w14:paraId="63A2111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七、中小企业声明函</w:t>
      </w:r>
      <w:r>
        <w:rPr>
          <w:rFonts w:hint="eastAsia" w:ascii="Times New Roman" w:hAnsi="Times New Roman"/>
          <w:color w:val="auto"/>
          <w:sz w:val="28"/>
          <w:szCs w:val="28"/>
          <w:highlight w:val="none"/>
        </w:rPr>
        <w:t>或残疾人福利性单位声明函</w:t>
      </w:r>
    </w:p>
    <w:p w14:paraId="4DC2AC8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4027C7A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九、项目组成员</w:t>
      </w:r>
    </w:p>
    <w:p w14:paraId="2890E18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十、企业业绩</w:t>
      </w:r>
    </w:p>
    <w:p w14:paraId="13A70B25">
      <w:pPr>
        <w:spacing w:line="600" w:lineRule="exact"/>
        <w:ind w:firstLine="56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十一、项目实施方案</w:t>
      </w:r>
    </w:p>
    <w:p w14:paraId="19F3005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rPr>
        <w:t>、投标所需其他材料</w:t>
      </w:r>
    </w:p>
    <w:p w14:paraId="0B20F93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、质疑函范本</w:t>
      </w:r>
    </w:p>
    <w:p w14:paraId="674F1E74">
      <w:pPr>
        <w:spacing w:line="600" w:lineRule="exact"/>
        <w:ind w:firstLine="560"/>
        <w:rPr>
          <w:rFonts w:hint="eastAsia" w:ascii="宋体" w:hAnsi="宋体" w:eastAsia="宋体" w:cs="宋体"/>
          <w:color w:val="auto"/>
          <w:sz w:val="28"/>
          <w:szCs w:val="28"/>
          <w:highlight w:val="none"/>
        </w:rPr>
      </w:pPr>
    </w:p>
    <w:p w14:paraId="06F59AA7">
      <w:pPr>
        <w:spacing w:line="440" w:lineRule="exact"/>
        <w:ind w:firstLine="480"/>
        <w:rPr>
          <w:rFonts w:hint="eastAsia" w:ascii="宋体" w:hAnsi="宋体" w:eastAsia="宋体" w:cs="宋体"/>
          <w:color w:val="auto"/>
          <w:sz w:val="24"/>
          <w:highlight w:val="none"/>
        </w:rPr>
      </w:pPr>
    </w:p>
    <w:p w14:paraId="2ACEFF91">
      <w:pPr>
        <w:spacing w:line="440" w:lineRule="exact"/>
        <w:ind w:firstLine="480"/>
        <w:rPr>
          <w:rFonts w:hint="eastAsia" w:ascii="宋体" w:hAnsi="宋体" w:eastAsia="宋体" w:cs="宋体"/>
          <w:color w:val="auto"/>
          <w:sz w:val="24"/>
          <w:highlight w:val="none"/>
        </w:rPr>
      </w:pPr>
    </w:p>
    <w:p w14:paraId="79279F03">
      <w:pPr>
        <w:spacing w:line="440" w:lineRule="exact"/>
        <w:ind w:firstLine="480"/>
        <w:rPr>
          <w:rFonts w:hint="eastAsia" w:ascii="宋体" w:hAnsi="宋体" w:eastAsia="宋体" w:cs="宋体"/>
          <w:color w:val="auto"/>
          <w:sz w:val="24"/>
          <w:highlight w:val="none"/>
        </w:rPr>
      </w:pPr>
    </w:p>
    <w:p w14:paraId="1BF87872">
      <w:pPr>
        <w:spacing w:line="440" w:lineRule="exact"/>
        <w:ind w:firstLine="480"/>
        <w:rPr>
          <w:rFonts w:hint="eastAsia" w:ascii="宋体" w:hAnsi="宋体" w:eastAsia="宋体" w:cs="宋体"/>
          <w:color w:val="auto"/>
          <w:sz w:val="24"/>
          <w:highlight w:val="none"/>
        </w:rPr>
      </w:pPr>
    </w:p>
    <w:p w14:paraId="2A6AED10">
      <w:pPr>
        <w:spacing w:line="440" w:lineRule="exact"/>
        <w:ind w:firstLine="480"/>
        <w:rPr>
          <w:rFonts w:hint="eastAsia" w:ascii="宋体" w:hAnsi="宋体" w:eastAsia="宋体" w:cs="宋体"/>
          <w:color w:val="auto"/>
          <w:sz w:val="24"/>
          <w:highlight w:val="none"/>
        </w:rPr>
      </w:pPr>
    </w:p>
    <w:p w14:paraId="00E97031">
      <w:pPr>
        <w:rPr>
          <w:rFonts w:hint="eastAsia" w:ascii="宋体" w:hAnsi="宋体" w:eastAsia="宋体" w:cs="宋体"/>
          <w:color w:val="auto"/>
          <w:sz w:val="24"/>
          <w:szCs w:val="24"/>
          <w:highlight w:val="none"/>
          <w:lang w:val="en-US" w:eastAsia="zh-CN" w:bidi="ar-SA"/>
        </w:rPr>
      </w:pPr>
      <w:bookmarkStart w:id="211" w:name="_Toc23838"/>
    </w:p>
    <w:p w14:paraId="242B82C1">
      <w:pPr>
        <w:rPr>
          <w:rFonts w:hint="eastAsia" w:ascii="宋体" w:hAnsi="宋体" w:eastAsia="宋体" w:cs="宋体"/>
          <w:color w:val="auto"/>
          <w:sz w:val="24"/>
          <w:szCs w:val="24"/>
          <w:highlight w:val="none"/>
          <w:lang w:val="en-US" w:eastAsia="zh-CN" w:bidi="ar-SA"/>
        </w:rPr>
      </w:pPr>
    </w:p>
    <w:p w14:paraId="0848DB88">
      <w:pPr>
        <w:rPr>
          <w:rFonts w:hint="eastAsia" w:ascii="宋体" w:hAnsi="宋体" w:eastAsia="宋体" w:cs="宋体"/>
          <w:color w:val="auto"/>
          <w:sz w:val="24"/>
          <w:szCs w:val="24"/>
          <w:highlight w:val="none"/>
          <w:lang w:val="en-US" w:eastAsia="zh-CN" w:bidi="ar-SA"/>
        </w:rPr>
      </w:pPr>
    </w:p>
    <w:p w14:paraId="2F4BE2ED">
      <w:pPr>
        <w:outlineLvl w:val="1"/>
        <w:rPr>
          <w:rFonts w:hint="eastAsia" w:ascii="宋体" w:hAnsi="宋体" w:eastAsia="宋体" w:cs="宋体"/>
          <w:b/>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bookmarkEnd w:id="211"/>
      <w:bookmarkStart w:id="212" w:name="_Toc22351"/>
      <w:r>
        <w:rPr>
          <w:rFonts w:hint="eastAsia" w:ascii="宋体" w:hAnsi="宋体" w:eastAsia="宋体" w:cs="宋体"/>
          <w:b/>
          <w:color w:val="auto"/>
          <w:sz w:val="32"/>
          <w:szCs w:val="32"/>
          <w:highlight w:val="none"/>
          <w:lang w:val="en-US" w:eastAsia="zh-CN" w:bidi="ar-SA"/>
        </w:rPr>
        <w:t>一、</w:t>
      </w:r>
      <w:bookmarkStart w:id="213" w:name="_Toc120614284"/>
      <w:r>
        <w:rPr>
          <w:rFonts w:hint="eastAsia" w:ascii="宋体" w:hAnsi="宋体" w:eastAsia="宋体" w:cs="宋体"/>
          <w:b/>
          <w:color w:val="auto"/>
          <w:sz w:val="32"/>
          <w:szCs w:val="32"/>
          <w:highlight w:val="none"/>
          <w:lang w:val="en-US" w:eastAsia="zh-CN" w:bidi="ar-SA"/>
        </w:rPr>
        <w:t>投标声明及承诺函</w:t>
      </w:r>
      <w:bookmarkEnd w:id="212"/>
    </w:p>
    <w:p w14:paraId="7A86006B">
      <w:pPr>
        <w:widowControl w:val="0"/>
        <w:spacing w:line="500" w:lineRule="exact"/>
        <w:jc w:val="center"/>
        <w:rPr>
          <w:rFonts w:hint="eastAsia" w:ascii="宋体" w:hAnsi="宋体" w:eastAsia="宋体" w:cs="宋体"/>
          <w:b/>
          <w:color w:val="auto"/>
          <w:sz w:val="32"/>
          <w:szCs w:val="32"/>
          <w:highlight w:val="none"/>
          <w:lang w:val="en-US" w:eastAsia="zh-CN" w:bidi="ar-SA"/>
        </w:rPr>
      </w:pPr>
    </w:p>
    <w:p w14:paraId="0BA53E3B">
      <w:pPr>
        <w:widowControl w:val="0"/>
        <w:spacing w:line="500" w:lineRule="exact"/>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color w:val="auto"/>
          <w:sz w:val="32"/>
          <w:szCs w:val="32"/>
          <w:highlight w:val="none"/>
          <w:lang w:val="en-US" w:eastAsia="zh-CN" w:bidi="ar-SA"/>
        </w:rPr>
        <w:t>投标声明及承诺函</w:t>
      </w:r>
    </w:p>
    <w:p w14:paraId="35247A28">
      <w:pPr>
        <w:widowControl w:val="0"/>
        <w:spacing w:line="500" w:lineRule="exact"/>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（采购单位名称）：</w:t>
      </w:r>
    </w:p>
    <w:p w14:paraId="5102AA17">
      <w:pPr>
        <w:widowControl w:val="0"/>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根据已收到的项目编号为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项目的招标文件，我方在参加本项目招投标活动中，特做出如下承诺：</w:t>
      </w:r>
    </w:p>
    <w:p w14:paraId="4DCEE366">
      <w:pPr>
        <w:widowControl w:val="0"/>
        <w:spacing w:line="500" w:lineRule="exact"/>
        <w:ind w:firstLine="480"/>
        <w:jc w:val="lef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一、我方</w:t>
      </w:r>
      <w:r>
        <w:rPr>
          <w:rFonts w:hint="eastAsia" w:ascii="宋体" w:hAnsi="宋体" w:eastAsia="宋体" w:cs="宋体"/>
          <w:color w:val="auto"/>
          <w:sz w:val="24"/>
          <w:szCs w:val="22"/>
          <w:highlight w:val="none"/>
          <w:lang w:val="en-US" w:eastAsia="zh-CN" w:bidi="ar-SA"/>
        </w:rPr>
        <w:t>具备《中华人民共和国政府采购法》第二十二条第一款规定的6项条件；</w:t>
      </w:r>
    </w:p>
    <w:p w14:paraId="66E7BC5B">
      <w:pPr>
        <w:widowControl w:val="0"/>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二、我方在参加政府采购活动前三年内（自本项目开标时间之日起计算），在经营活动中没有重大违法记录（指因违法经营受到刑事处罚或者责令停产停业、吊销许可证或者执照、较大数额罚款等行政处罚）。</w:t>
      </w:r>
    </w:p>
    <w:p w14:paraId="3B5AEA3B">
      <w:pPr>
        <w:widowControl w:val="0"/>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三、我方按招标文件要求提交投标文件，响应招标文件规定的投标有效期；</w:t>
      </w:r>
    </w:p>
    <w:p w14:paraId="31A3D2FA">
      <w:pPr>
        <w:widowControl w:val="0"/>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四、如果我方的投标文件被接受，我方将按《中华人民共和国民法典（第三编合同）》及其他有关法律、法规的规定，按期、按质、按量交付采购单位，全面做到履约守信；</w:t>
      </w:r>
    </w:p>
    <w:p w14:paraId="6FED1C5F">
      <w:pPr>
        <w:widowControl w:val="0"/>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五、我方若违背本声明及承诺约定，经查实，自愿接受采购人及相关主管部门相应的规定处理，并依法承担相应的法律责任。</w:t>
      </w:r>
    </w:p>
    <w:p w14:paraId="1F3ED325">
      <w:pPr>
        <w:widowControl w:val="0"/>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六、我方同意采购人、采购代理机构将本声明及承诺函上网公开。</w:t>
      </w:r>
    </w:p>
    <w:p w14:paraId="0C081FE6">
      <w:pPr>
        <w:widowControl w:val="0"/>
        <w:spacing w:line="500" w:lineRule="exact"/>
        <w:ind w:firstLine="480"/>
        <w:jc w:val="left"/>
        <w:rPr>
          <w:rFonts w:hint="eastAsia" w:ascii="宋体" w:hAnsi="宋体" w:eastAsia="宋体" w:cs="宋体"/>
          <w:color w:val="auto"/>
          <w:sz w:val="24"/>
          <w:szCs w:val="24"/>
          <w:highlight w:val="none"/>
          <w:lang w:val="en-US" w:eastAsia="zh-CN" w:bidi="ar-SA"/>
        </w:rPr>
      </w:pPr>
    </w:p>
    <w:p w14:paraId="1218B0F6">
      <w:pPr>
        <w:widowControl w:val="0"/>
        <w:spacing w:line="500" w:lineRule="exact"/>
        <w:jc w:val="left"/>
        <w:rPr>
          <w:rFonts w:hint="eastAsia" w:ascii="宋体" w:hAnsi="宋体" w:eastAsia="宋体" w:cs="宋体"/>
          <w:color w:val="auto"/>
          <w:sz w:val="24"/>
          <w:szCs w:val="24"/>
          <w:highlight w:val="none"/>
          <w:lang w:val="en-US" w:eastAsia="zh-CN" w:bidi="ar-SA"/>
        </w:rPr>
      </w:pPr>
    </w:p>
    <w:p w14:paraId="443F2501">
      <w:pPr>
        <w:widowControl w:val="0"/>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投标人名称：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（加盖CA电子公章）</w:t>
      </w:r>
    </w:p>
    <w:p w14:paraId="0B9D0883">
      <w:pPr>
        <w:widowControl w:val="0"/>
        <w:ind w:firstLine="480"/>
        <w:jc w:val="both"/>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48241FFF">
      <w:pPr>
        <w:outlineLvl w:val="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bookmarkStart w:id="214" w:name="_Toc18556"/>
      <w:r>
        <w:rPr>
          <w:rFonts w:hint="eastAsia" w:ascii="宋体" w:hAnsi="宋体" w:eastAsia="宋体" w:cs="宋体"/>
          <w:b/>
          <w:color w:val="auto"/>
          <w:sz w:val="32"/>
          <w:szCs w:val="32"/>
          <w:highlight w:val="none"/>
          <w:lang w:val="en-US" w:eastAsia="zh-CN" w:bidi="ar-SA"/>
        </w:rPr>
        <w:t>二、投标人基本情况</w:t>
      </w:r>
      <w:bookmarkEnd w:id="214"/>
    </w:p>
    <w:p w14:paraId="22DAAF75">
      <w:pPr>
        <w:widowControl w:val="0"/>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投标人基本情况表</w:t>
      </w:r>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6681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1F4FBA6">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投标人名称</w:t>
            </w:r>
          </w:p>
        </w:tc>
        <w:tc>
          <w:tcPr>
            <w:tcW w:w="6998" w:type="dxa"/>
            <w:gridSpan w:val="3"/>
            <w:noWrap w:val="0"/>
            <w:vAlign w:val="center"/>
          </w:tcPr>
          <w:p w14:paraId="3CC257FC">
            <w:pPr>
              <w:widowControl w:val="0"/>
              <w:spacing w:line="600" w:lineRule="exact"/>
              <w:jc w:val="center"/>
              <w:rPr>
                <w:rFonts w:hint="eastAsia" w:ascii="宋体" w:hAnsi="宋体" w:eastAsia="宋体" w:cs="宋体"/>
                <w:color w:val="auto"/>
                <w:sz w:val="24"/>
                <w:szCs w:val="24"/>
                <w:highlight w:val="none"/>
                <w:lang w:val="en-US" w:eastAsia="zh-CN" w:bidi="ar-SA"/>
              </w:rPr>
            </w:pPr>
          </w:p>
        </w:tc>
      </w:tr>
      <w:tr w14:paraId="38DBC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CAD39A3">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w:t>
            </w:r>
          </w:p>
        </w:tc>
        <w:tc>
          <w:tcPr>
            <w:tcW w:w="3118" w:type="dxa"/>
            <w:noWrap w:val="0"/>
            <w:vAlign w:val="center"/>
          </w:tcPr>
          <w:p w14:paraId="389AF361">
            <w:pPr>
              <w:widowControl w:val="0"/>
              <w:spacing w:line="600" w:lineRule="exact"/>
              <w:jc w:val="center"/>
              <w:rPr>
                <w:rFonts w:hint="eastAsia" w:ascii="宋体" w:hAnsi="宋体" w:eastAsia="宋体" w:cs="宋体"/>
                <w:color w:val="auto"/>
                <w:sz w:val="24"/>
                <w:szCs w:val="24"/>
                <w:highlight w:val="none"/>
                <w:lang w:val="en-US" w:eastAsia="zh-CN" w:bidi="ar-SA"/>
              </w:rPr>
            </w:pPr>
          </w:p>
        </w:tc>
        <w:tc>
          <w:tcPr>
            <w:tcW w:w="1276" w:type="dxa"/>
            <w:noWrap w:val="0"/>
            <w:vAlign w:val="center"/>
          </w:tcPr>
          <w:p w14:paraId="372B1523">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注册地区</w:t>
            </w:r>
          </w:p>
        </w:tc>
        <w:tc>
          <w:tcPr>
            <w:tcW w:w="2604" w:type="dxa"/>
            <w:noWrap w:val="0"/>
            <w:vAlign w:val="center"/>
          </w:tcPr>
          <w:p w14:paraId="5CB786C1">
            <w:pPr>
              <w:widowControl w:val="0"/>
              <w:spacing w:line="600" w:lineRule="exact"/>
              <w:jc w:val="center"/>
              <w:rPr>
                <w:rFonts w:hint="eastAsia" w:ascii="宋体" w:hAnsi="宋体" w:eastAsia="宋体" w:cs="宋体"/>
                <w:color w:val="auto"/>
                <w:sz w:val="24"/>
                <w:szCs w:val="24"/>
                <w:highlight w:val="none"/>
                <w:lang w:val="en-US" w:eastAsia="zh-CN" w:bidi="ar-SA"/>
              </w:rPr>
            </w:pPr>
          </w:p>
        </w:tc>
      </w:tr>
      <w:tr w14:paraId="007E4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B2F4926">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地址</w:t>
            </w:r>
          </w:p>
        </w:tc>
        <w:tc>
          <w:tcPr>
            <w:tcW w:w="3118" w:type="dxa"/>
            <w:noWrap w:val="0"/>
            <w:vAlign w:val="center"/>
          </w:tcPr>
          <w:p w14:paraId="1232356A">
            <w:pPr>
              <w:widowControl w:val="0"/>
              <w:spacing w:line="600" w:lineRule="exact"/>
              <w:jc w:val="center"/>
              <w:rPr>
                <w:rFonts w:hint="eastAsia" w:ascii="宋体" w:hAnsi="宋体" w:eastAsia="宋体" w:cs="宋体"/>
                <w:color w:val="auto"/>
                <w:sz w:val="24"/>
                <w:szCs w:val="24"/>
                <w:highlight w:val="none"/>
                <w:lang w:val="en-US" w:eastAsia="zh-CN" w:bidi="ar-SA"/>
              </w:rPr>
            </w:pPr>
          </w:p>
        </w:tc>
        <w:tc>
          <w:tcPr>
            <w:tcW w:w="1276" w:type="dxa"/>
            <w:noWrap w:val="0"/>
            <w:vAlign w:val="center"/>
          </w:tcPr>
          <w:p w14:paraId="0C71E956">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邮政编码</w:t>
            </w:r>
          </w:p>
        </w:tc>
        <w:tc>
          <w:tcPr>
            <w:tcW w:w="2604" w:type="dxa"/>
            <w:noWrap w:val="0"/>
            <w:vAlign w:val="center"/>
          </w:tcPr>
          <w:p w14:paraId="2D5BD33D">
            <w:pPr>
              <w:widowControl w:val="0"/>
              <w:spacing w:line="600" w:lineRule="exact"/>
              <w:jc w:val="center"/>
              <w:rPr>
                <w:rFonts w:hint="eastAsia" w:ascii="宋体" w:hAnsi="宋体" w:eastAsia="宋体" w:cs="宋体"/>
                <w:color w:val="auto"/>
                <w:sz w:val="24"/>
                <w:szCs w:val="24"/>
                <w:highlight w:val="none"/>
                <w:lang w:val="en-US" w:eastAsia="zh-CN" w:bidi="ar-SA"/>
              </w:rPr>
            </w:pPr>
          </w:p>
        </w:tc>
      </w:tr>
      <w:tr w14:paraId="7BBC5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B7BC926">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成立时间</w:t>
            </w:r>
          </w:p>
        </w:tc>
        <w:tc>
          <w:tcPr>
            <w:tcW w:w="3118" w:type="dxa"/>
            <w:noWrap w:val="0"/>
            <w:vAlign w:val="center"/>
          </w:tcPr>
          <w:p w14:paraId="49BF3007">
            <w:pPr>
              <w:widowControl w:val="0"/>
              <w:spacing w:line="600" w:lineRule="exact"/>
              <w:jc w:val="center"/>
              <w:rPr>
                <w:rFonts w:hint="eastAsia" w:ascii="宋体" w:hAnsi="宋体" w:eastAsia="宋体" w:cs="宋体"/>
                <w:color w:val="auto"/>
                <w:sz w:val="24"/>
                <w:szCs w:val="24"/>
                <w:highlight w:val="none"/>
                <w:lang w:val="en-US" w:eastAsia="zh-CN" w:bidi="ar-SA"/>
              </w:rPr>
            </w:pPr>
          </w:p>
        </w:tc>
        <w:tc>
          <w:tcPr>
            <w:tcW w:w="1276" w:type="dxa"/>
            <w:noWrap w:val="0"/>
            <w:vAlign w:val="center"/>
          </w:tcPr>
          <w:p w14:paraId="3E41ED63">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单位性质</w:t>
            </w:r>
          </w:p>
        </w:tc>
        <w:tc>
          <w:tcPr>
            <w:tcW w:w="2604" w:type="dxa"/>
            <w:noWrap w:val="0"/>
            <w:vAlign w:val="center"/>
          </w:tcPr>
          <w:p w14:paraId="56F8F5B3">
            <w:pPr>
              <w:widowControl w:val="0"/>
              <w:spacing w:line="600" w:lineRule="exact"/>
              <w:jc w:val="center"/>
              <w:rPr>
                <w:rFonts w:hint="eastAsia" w:ascii="宋体" w:hAnsi="宋体" w:eastAsia="宋体" w:cs="宋体"/>
                <w:color w:val="auto"/>
                <w:sz w:val="24"/>
                <w:szCs w:val="24"/>
                <w:highlight w:val="none"/>
                <w:lang w:val="en-US" w:eastAsia="zh-CN" w:bidi="ar-SA"/>
              </w:rPr>
            </w:pPr>
          </w:p>
        </w:tc>
      </w:tr>
      <w:tr w14:paraId="11485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6104B0E">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注册号或社会信用代码</w:t>
            </w:r>
          </w:p>
        </w:tc>
        <w:tc>
          <w:tcPr>
            <w:tcW w:w="3118" w:type="dxa"/>
            <w:noWrap w:val="0"/>
            <w:vAlign w:val="center"/>
          </w:tcPr>
          <w:p w14:paraId="0CA27452">
            <w:pPr>
              <w:widowControl w:val="0"/>
              <w:spacing w:line="600" w:lineRule="exact"/>
              <w:jc w:val="center"/>
              <w:rPr>
                <w:rFonts w:hint="eastAsia" w:ascii="宋体" w:hAnsi="宋体" w:eastAsia="宋体" w:cs="宋体"/>
                <w:color w:val="auto"/>
                <w:sz w:val="24"/>
                <w:szCs w:val="24"/>
                <w:highlight w:val="none"/>
                <w:lang w:val="en-US" w:eastAsia="zh-CN" w:bidi="ar-SA"/>
              </w:rPr>
            </w:pPr>
          </w:p>
        </w:tc>
        <w:tc>
          <w:tcPr>
            <w:tcW w:w="1276" w:type="dxa"/>
            <w:noWrap w:val="0"/>
            <w:vAlign w:val="center"/>
          </w:tcPr>
          <w:p w14:paraId="73600C64">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注册资本（万元）</w:t>
            </w:r>
          </w:p>
        </w:tc>
        <w:tc>
          <w:tcPr>
            <w:tcW w:w="2604" w:type="dxa"/>
            <w:noWrap w:val="0"/>
            <w:vAlign w:val="center"/>
          </w:tcPr>
          <w:p w14:paraId="3C9B23CD">
            <w:pPr>
              <w:widowControl w:val="0"/>
              <w:spacing w:line="600" w:lineRule="exact"/>
              <w:jc w:val="center"/>
              <w:rPr>
                <w:rFonts w:hint="eastAsia" w:ascii="宋体" w:hAnsi="宋体" w:eastAsia="宋体" w:cs="宋体"/>
                <w:color w:val="auto"/>
                <w:sz w:val="24"/>
                <w:szCs w:val="24"/>
                <w:highlight w:val="none"/>
                <w:lang w:val="en-US" w:eastAsia="zh-CN" w:bidi="ar-SA"/>
              </w:rPr>
            </w:pPr>
          </w:p>
        </w:tc>
      </w:tr>
      <w:tr w14:paraId="02D78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4093E0B">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投标人类别</w:t>
            </w:r>
          </w:p>
        </w:tc>
        <w:tc>
          <w:tcPr>
            <w:tcW w:w="6998" w:type="dxa"/>
            <w:gridSpan w:val="3"/>
            <w:noWrap w:val="0"/>
            <w:vAlign w:val="center"/>
          </w:tcPr>
          <w:p w14:paraId="4122B7C3">
            <w:pPr>
              <w:widowControl w:val="0"/>
              <w:spacing w:line="600" w:lineRule="exact"/>
              <w:jc w:val="center"/>
              <w:rPr>
                <w:rFonts w:hint="eastAsia" w:ascii="宋体" w:hAnsi="宋体" w:eastAsia="宋体" w:cs="宋体"/>
                <w:color w:val="auto"/>
                <w:sz w:val="24"/>
                <w:szCs w:val="24"/>
                <w:highlight w:val="none"/>
                <w:lang w:val="en-US" w:eastAsia="zh-CN" w:bidi="ar-SA"/>
              </w:rPr>
            </w:pPr>
          </w:p>
        </w:tc>
      </w:tr>
      <w:tr w14:paraId="06FB2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7FB89D3">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开户银行</w:t>
            </w:r>
          </w:p>
        </w:tc>
        <w:tc>
          <w:tcPr>
            <w:tcW w:w="3118" w:type="dxa"/>
            <w:noWrap w:val="0"/>
            <w:vAlign w:val="center"/>
          </w:tcPr>
          <w:p w14:paraId="6AC0008C">
            <w:pPr>
              <w:widowControl w:val="0"/>
              <w:spacing w:line="600" w:lineRule="exact"/>
              <w:jc w:val="center"/>
              <w:rPr>
                <w:rFonts w:hint="eastAsia" w:ascii="宋体" w:hAnsi="宋体" w:eastAsia="宋体" w:cs="宋体"/>
                <w:color w:val="auto"/>
                <w:sz w:val="24"/>
                <w:szCs w:val="24"/>
                <w:highlight w:val="none"/>
                <w:lang w:val="en-US" w:eastAsia="zh-CN" w:bidi="ar-SA"/>
              </w:rPr>
            </w:pPr>
          </w:p>
        </w:tc>
        <w:tc>
          <w:tcPr>
            <w:tcW w:w="1276" w:type="dxa"/>
            <w:noWrap w:val="0"/>
            <w:vAlign w:val="center"/>
          </w:tcPr>
          <w:p w14:paraId="6921C9CF">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账号</w:t>
            </w:r>
          </w:p>
        </w:tc>
        <w:tc>
          <w:tcPr>
            <w:tcW w:w="2604" w:type="dxa"/>
            <w:noWrap w:val="0"/>
            <w:vAlign w:val="center"/>
          </w:tcPr>
          <w:p w14:paraId="160283DF">
            <w:pPr>
              <w:widowControl w:val="0"/>
              <w:spacing w:line="600" w:lineRule="exact"/>
              <w:jc w:val="center"/>
              <w:rPr>
                <w:rFonts w:hint="eastAsia" w:ascii="宋体" w:hAnsi="宋体" w:eastAsia="宋体" w:cs="宋体"/>
                <w:color w:val="auto"/>
                <w:sz w:val="24"/>
                <w:szCs w:val="24"/>
                <w:highlight w:val="none"/>
                <w:lang w:val="en-US" w:eastAsia="zh-CN" w:bidi="ar-SA"/>
              </w:rPr>
            </w:pPr>
          </w:p>
        </w:tc>
      </w:tr>
      <w:tr w14:paraId="5F2E2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8890705">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联系人</w:t>
            </w:r>
          </w:p>
        </w:tc>
        <w:tc>
          <w:tcPr>
            <w:tcW w:w="3118" w:type="dxa"/>
            <w:noWrap w:val="0"/>
            <w:vAlign w:val="center"/>
          </w:tcPr>
          <w:p w14:paraId="100C2C30">
            <w:pPr>
              <w:widowControl w:val="0"/>
              <w:spacing w:line="600" w:lineRule="exact"/>
              <w:jc w:val="center"/>
              <w:rPr>
                <w:rFonts w:hint="eastAsia" w:ascii="宋体" w:hAnsi="宋体" w:eastAsia="宋体" w:cs="宋体"/>
                <w:color w:val="auto"/>
                <w:sz w:val="24"/>
                <w:szCs w:val="24"/>
                <w:highlight w:val="none"/>
                <w:lang w:val="en-US" w:eastAsia="zh-CN" w:bidi="ar-SA"/>
              </w:rPr>
            </w:pPr>
          </w:p>
        </w:tc>
        <w:tc>
          <w:tcPr>
            <w:tcW w:w="1276" w:type="dxa"/>
            <w:noWrap w:val="0"/>
            <w:vAlign w:val="center"/>
          </w:tcPr>
          <w:p w14:paraId="0B0DC0AD">
            <w:pPr>
              <w:widowControl w:val="0"/>
              <w:spacing w:line="6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p>
        </w:tc>
        <w:tc>
          <w:tcPr>
            <w:tcW w:w="2604" w:type="dxa"/>
            <w:noWrap w:val="0"/>
            <w:vAlign w:val="center"/>
          </w:tcPr>
          <w:p w14:paraId="622C8164">
            <w:pPr>
              <w:widowControl w:val="0"/>
              <w:spacing w:line="600" w:lineRule="exact"/>
              <w:jc w:val="center"/>
              <w:rPr>
                <w:rFonts w:hint="eastAsia" w:ascii="宋体" w:hAnsi="宋体" w:eastAsia="宋体" w:cs="宋体"/>
                <w:color w:val="auto"/>
                <w:sz w:val="24"/>
                <w:szCs w:val="24"/>
                <w:highlight w:val="none"/>
                <w:lang w:val="en-US" w:eastAsia="zh-CN" w:bidi="ar-SA"/>
              </w:rPr>
            </w:pPr>
          </w:p>
        </w:tc>
      </w:tr>
      <w:tr w14:paraId="5578A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6E545363">
            <w:pPr>
              <w:widowControl w:val="0"/>
              <w:spacing w:line="5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经营范围</w:t>
            </w:r>
          </w:p>
        </w:tc>
        <w:tc>
          <w:tcPr>
            <w:tcW w:w="6998" w:type="dxa"/>
            <w:gridSpan w:val="3"/>
            <w:noWrap w:val="0"/>
            <w:vAlign w:val="top"/>
          </w:tcPr>
          <w:p w14:paraId="27ABB45A">
            <w:pPr>
              <w:widowControl w:val="0"/>
              <w:spacing w:line="560" w:lineRule="exact"/>
              <w:ind w:firstLine="1432"/>
              <w:jc w:val="both"/>
              <w:rPr>
                <w:rFonts w:hint="eastAsia" w:ascii="宋体" w:hAnsi="宋体" w:eastAsia="宋体" w:cs="宋体"/>
                <w:color w:val="auto"/>
                <w:sz w:val="24"/>
                <w:szCs w:val="24"/>
                <w:highlight w:val="none"/>
                <w:lang w:val="en-US" w:eastAsia="zh-CN" w:bidi="ar-SA"/>
              </w:rPr>
            </w:pPr>
          </w:p>
        </w:tc>
      </w:tr>
      <w:tr w14:paraId="0200B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71ADA23C">
            <w:pPr>
              <w:widowControl w:val="0"/>
              <w:spacing w:line="5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w:t>
            </w:r>
          </w:p>
        </w:tc>
        <w:tc>
          <w:tcPr>
            <w:tcW w:w="6998" w:type="dxa"/>
            <w:gridSpan w:val="3"/>
            <w:noWrap w:val="0"/>
            <w:vAlign w:val="center"/>
          </w:tcPr>
          <w:p w14:paraId="0C999649">
            <w:pPr>
              <w:widowControl w:val="0"/>
              <w:spacing w:line="500" w:lineRule="exact"/>
              <w:jc w:val="center"/>
              <w:rPr>
                <w:rFonts w:hint="eastAsia" w:ascii="宋体" w:hAnsi="宋体" w:eastAsia="宋体" w:cs="宋体"/>
                <w:color w:val="auto"/>
                <w:sz w:val="24"/>
                <w:szCs w:val="24"/>
                <w:highlight w:val="none"/>
                <w:lang w:val="en-US" w:eastAsia="zh-CN" w:bidi="ar-SA"/>
              </w:rPr>
            </w:pPr>
          </w:p>
        </w:tc>
      </w:tr>
    </w:tbl>
    <w:p w14:paraId="0147EB19">
      <w:pPr>
        <w:spacing w:line="440" w:lineRule="exact"/>
        <w:ind w:firstLine="480"/>
        <w:rPr>
          <w:rFonts w:hint="eastAsia" w:ascii="宋体" w:hAnsi="宋体" w:eastAsia="宋体" w:cs="宋体"/>
          <w:color w:val="auto"/>
          <w:sz w:val="24"/>
          <w:highlight w:val="none"/>
        </w:rPr>
      </w:pPr>
    </w:p>
    <w:p w14:paraId="720EF39C">
      <w:pPr>
        <w:spacing w:line="440" w:lineRule="exact"/>
        <w:ind w:firstLine="480"/>
        <w:rPr>
          <w:rFonts w:hint="eastAsia" w:ascii="宋体" w:hAnsi="宋体" w:eastAsia="宋体" w:cs="宋体"/>
          <w:color w:val="auto"/>
          <w:sz w:val="24"/>
          <w:highlight w:val="none"/>
        </w:rPr>
      </w:pPr>
    </w:p>
    <w:p w14:paraId="1A6B7631">
      <w:pPr>
        <w:spacing w:line="440" w:lineRule="exact"/>
        <w:ind w:firstLine="480"/>
        <w:rPr>
          <w:rFonts w:hint="eastAsia" w:ascii="宋体" w:hAnsi="宋体" w:eastAsia="宋体" w:cs="宋体"/>
          <w:color w:val="auto"/>
          <w:sz w:val="24"/>
          <w:highlight w:val="none"/>
        </w:rPr>
      </w:pPr>
    </w:p>
    <w:p w14:paraId="45660F56">
      <w:pPr>
        <w:widowControl w:val="0"/>
        <w:jc w:val="both"/>
        <w:rPr>
          <w:rFonts w:hint="eastAsia" w:ascii="宋体" w:hAnsi="宋体" w:eastAsia="宋体" w:cs="宋体"/>
          <w:i/>
          <w:color w:val="auto"/>
          <w:sz w:val="32"/>
          <w:szCs w:val="32"/>
          <w:highlight w:val="none"/>
          <w:u w:val="single"/>
          <w:lang w:val="en-US" w:eastAsia="zh-CN" w:bidi="ar-SA"/>
        </w:rPr>
      </w:pPr>
    </w:p>
    <w:p w14:paraId="422C0FE0">
      <w:pPr>
        <w:outlineLvl w:val="1"/>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bookmarkStart w:id="215" w:name="_Toc7821"/>
      <w:r>
        <w:rPr>
          <w:rFonts w:hint="eastAsia" w:ascii="宋体" w:hAnsi="宋体" w:eastAsia="宋体" w:cs="宋体"/>
          <w:b/>
          <w:color w:val="auto"/>
          <w:sz w:val="32"/>
          <w:szCs w:val="32"/>
          <w:highlight w:val="none"/>
        </w:rPr>
        <w:t>三、特定资格要求的证明文件</w:t>
      </w:r>
      <w:bookmarkEnd w:id="215"/>
    </w:p>
    <w:p w14:paraId="1056302F">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p>
    <w:p w14:paraId="0DB08FBA">
      <w:pPr>
        <w:spacing w:line="460" w:lineRule="exact"/>
        <w:rPr>
          <w:rFonts w:hint="eastAsia" w:ascii="宋体" w:hAnsi="宋体" w:eastAsia="宋体" w:cs="宋体"/>
          <w:bCs/>
          <w:color w:val="auto"/>
          <w:sz w:val="24"/>
          <w:highlight w:val="none"/>
        </w:rPr>
      </w:pPr>
    </w:p>
    <w:p w14:paraId="5FF3699B">
      <w:pPr>
        <w:jc w:val="center"/>
        <w:rPr>
          <w:rFonts w:hint="eastAsia" w:ascii="宋体" w:hAnsi="宋体" w:eastAsia="宋体" w:cs="宋体"/>
          <w:i/>
          <w:color w:val="auto"/>
          <w:sz w:val="32"/>
          <w:szCs w:val="32"/>
          <w:highlight w:val="none"/>
          <w:u w:val="single"/>
        </w:rPr>
      </w:pPr>
    </w:p>
    <w:p w14:paraId="78F1D839">
      <w:pPr>
        <w:jc w:val="center"/>
        <w:rPr>
          <w:rFonts w:hint="eastAsia" w:ascii="宋体" w:hAnsi="宋体" w:eastAsia="宋体" w:cs="宋体"/>
          <w:i/>
          <w:color w:val="auto"/>
          <w:sz w:val="32"/>
          <w:szCs w:val="32"/>
          <w:highlight w:val="none"/>
          <w:u w:val="single"/>
        </w:rPr>
      </w:pPr>
    </w:p>
    <w:p w14:paraId="47730D99">
      <w:pPr>
        <w:jc w:val="center"/>
        <w:rPr>
          <w:rFonts w:hint="eastAsia" w:ascii="宋体" w:hAnsi="宋体" w:eastAsia="宋体" w:cs="宋体"/>
          <w:i/>
          <w:color w:val="auto"/>
          <w:sz w:val="32"/>
          <w:szCs w:val="32"/>
          <w:highlight w:val="none"/>
          <w:u w:val="single"/>
        </w:rPr>
      </w:pPr>
    </w:p>
    <w:p w14:paraId="0BC69959">
      <w:pPr>
        <w:jc w:val="center"/>
        <w:rPr>
          <w:rFonts w:hint="eastAsia" w:ascii="宋体" w:hAnsi="宋体" w:eastAsia="宋体" w:cs="宋体"/>
          <w:i/>
          <w:color w:val="auto"/>
          <w:sz w:val="32"/>
          <w:szCs w:val="32"/>
          <w:highlight w:val="none"/>
          <w:u w:val="single"/>
        </w:rPr>
      </w:pPr>
    </w:p>
    <w:p w14:paraId="4DC0E6EB">
      <w:pPr>
        <w:jc w:val="center"/>
        <w:rPr>
          <w:rFonts w:hint="eastAsia" w:ascii="宋体" w:hAnsi="宋体" w:eastAsia="宋体" w:cs="宋体"/>
          <w:i/>
          <w:color w:val="auto"/>
          <w:sz w:val="32"/>
          <w:szCs w:val="32"/>
          <w:highlight w:val="none"/>
          <w:u w:val="single"/>
        </w:rPr>
      </w:pPr>
    </w:p>
    <w:p w14:paraId="72116754">
      <w:pPr>
        <w:jc w:val="center"/>
        <w:rPr>
          <w:rFonts w:hint="eastAsia" w:ascii="宋体" w:hAnsi="宋体" w:eastAsia="宋体" w:cs="宋体"/>
          <w:i/>
          <w:color w:val="auto"/>
          <w:sz w:val="32"/>
          <w:szCs w:val="32"/>
          <w:highlight w:val="none"/>
          <w:u w:val="single"/>
        </w:rPr>
      </w:pPr>
    </w:p>
    <w:p w14:paraId="37C0F0DE">
      <w:pPr>
        <w:jc w:val="center"/>
        <w:rPr>
          <w:rFonts w:hint="eastAsia" w:ascii="宋体" w:hAnsi="宋体" w:eastAsia="宋体" w:cs="宋体"/>
          <w:i/>
          <w:color w:val="auto"/>
          <w:sz w:val="32"/>
          <w:szCs w:val="32"/>
          <w:highlight w:val="none"/>
          <w:u w:val="single"/>
        </w:rPr>
      </w:pPr>
    </w:p>
    <w:p w14:paraId="76C5001D">
      <w:pPr>
        <w:jc w:val="center"/>
        <w:rPr>
          <w:rFonts w:hint="eastAsia" w:ascii="宋体" w:hAnsi="宋体" w:eastAsia="宋体" w:cs="宋体"/>
          <w:i/>
          <w:color w:val="auto"/>
          <w:sz w:val="32"/>
          <w:szCs w:val="32"/>
          <w:highlight w:val="none"/>
          <w:u w:val="single"/>
        </w:rPr>
      </w:pPr>
    </w:p>
    <w:p w14:paraId="2585E860">
      <w:pPr>
        <w:jc w:val="center"/>
        <w:rPr>
          <w:rFonts w:hint="eastAsia" w:ascii="宋体" w:hAnsi="宋体" w:eastAsia="宋体" w:cs="宋体"/>
          <w:i/>
          <w:color w:val="auto"/>
          <w:sz w:val="32"/>
          <w:szCs w:val="32"/>
          <w:highlight w:val="none"/>
          <w:u w:val="single"/>
        </w:rPr>
      </w:pPr>
    </w:p>
    <w:p w14:paraId="2E5EDA39">
      <w:pPr>
        <w:jc w:val="center"/>
        <w:rPr>
          <w:rFonts w:hint="eastAsia" w:ascii="宋体" w:hAnsi="宋体" w:eastAsia="宋体" w:cs="宋体"/>
          <w:i/>
          <w:color w:val="auto"/>
          <w:sz w:val="32"/>
          <w:szCs w:val="32"/>
          <w:highlight w:val="none"/>
          <w:u w:val="single"/>
        </w:rPr>
      </w:pPr>
    </w:p>
    <w:p w14:paraId="47B474EE">
      <w:pPr>
        <w:jc w:val="center"/>
        <w:rPr>
          <w:rFonts w:hint="eastAsia" w:ascii="宋体" w:hAnsi="宋体" w:eastAsia="宋体" w:cs="宋体"/>
          <w:i/>
          <w:color w:val="auto"/>
          <w:sz w:val="32"/>
          <w:szCs w:val="32"/>
          <w:highlight w:val="none"/>
          <w:u w:val="single"/>
        </w:rPr>
      </w:pPr>
    </w:p>
    <w:p w14:paraId="3283A57E">
      <w:pPr>
        <w:jc w:val="center"/>
        <w:rPr>
          <w:rFonts w:hint="eastAsia" w:ascii="宋体" w:hAnsi="宋体" w:eastAsia="宋体" w:cs="宋体"/>
          <w:i/>
          <w:color w:val="auto"/>
          <w:sz w:val="32"/>
          <w:szCs w:val="32"/>
          <w:highlight w:val="none"/>
          <w:u w:val="single"/>
        </w:rPr>
      </w:pPr>
    </w:p>
    <w:p w14:paraId="6293AB36">
      <w:pPr>
        <w:jc w:val="center"/>
        <w:rPr>
          <w:rFonts w:hint="eastAsia" w:ascii="宋体" w:hAnsi="宋体" w:eastAsia="宋体" w:cs="宋体"/>
          <w:i/>
          <w:color w:val="auto"/>
          <w:sz w:val="32"/>
          <w:szCs w:val="32"/>
          <w:highlight w:val="none"/>
          <w:u w:val="single"/>
        </w:rPr>
      </w:pPr>
    </w:p>
    <w:p w14:paraId="4A803F43">
      <w:pPr>
        <w:jc w:val="center"/>
        <w:rPr>
          <w:rFonts w:hint="eastAsia" w:ascii="宋体" w:hAnsi="宋体" w:eastAsia="宋体" w:cs="宋体"/>
          <w:i/>
          <w:color w:val="auto"/>
          <w:sz w:val="32"/>
          <w:szCs w:val="32"/>
          <w:highlight w:val="none"/>
          <w:u w:val="single"/>
        </w:rPr>
      </w:pPr>
    </w:p>
    <w:p w14:paraId="247AEF25">
      <w:pPr>
        <w:jc w:val="center"/>
        <w:rPr>
          <w:rFonts w:hint="eastAsia" w:ascii="宋体" w:hAnsi="宋体" w:eastAsia="宋体" w:cs="宋体"/>
          <w:i/>
          <w:color w:val="auto"/>
          <w:sz w:val="32"/>
          <w:szCs w:val="32"/>
          <w:highlight w:val="none"/>
          <w:u w:val="single"/>
        </w:rPr>
      </w:pPr>
    </w:p>
    <w:p w14:paraId="6A5725AC">
      <w:pPr>
        <w:jc w:val="center"/>
        <w:rPr>
          <w:rFonts w:hint="eastAsia" w:ascii="宋体" w:hAnsi="宋体" w:eastAsia="宋体" w:cs="宋体"/>
          <w:i/>
          <w:color w:val="auto"/>
          <w:sz w:val="32"/>
          <w:szCs w:val="32"/>
          <w:highlight w:val="none"/>
          <w:u w:val="single"/>
        </w:rPr>
      </w:pPr>
    </w:p>
    <w:p w14:paraId="7D8856FA">
      <w:pPr>
        <w:widowControl w:val="0"/>
        <w:spacing w:line="560" w:lineRule="exact"/>
        <w:ind w:firstLine="640"/>
        <w:rPr>
          <w:rFonts w:hint="eastAsia" w:ascii="宋体" w:hAnsi="宋体" w:eastAsia="宋体" w:cs="宋体"/>
          <w:i/>
          <w:color w:val="auto"/>
          <w:sz w:val="32"/>
          <w:szCs w:val="32"/>
          <w:highlight w:val="none"/>
          <w:u w:val="single"/>
          <w:lang w:val="en-US" w:eastAsia="zh-CN" w:bidi="ar-SA"/>
        </w:rPr>
      </w:pPr>
    </w:p>
    <w:p w14:paraId="61893C15">
      <w:pPr>
        <w:widowControl w:val="0"/>
        <w:spacing w:line="560" w:lineRule="exact"/>
        <w:ind w:firstLine="640"/>
        <w:rPr>
          <w:rFonts w:hint="eastAsia" w:ascii="宋体" w:hAnsi="宋体" w:eastAsia="宋体" w:cs="宋体"/>
          <w:i/>
          <w:color w:val="auto"/>
          <w:sz w:val="32"/>
          <w:szCs w:val="32"/>
          <w:highlight w:val="none"/>
          <w:u w:val="single"/>
          <w:lang w:val="en-US" w:eastAsia="zh-CN" w:bidi="ar-SA"/>
        </w:rPr>
      </w:pPr>
    </w:p>
    <w:p w14:paraId="343E93DD">
      <w:pPr>
        <w:jc w:val="center"/>
        <w:rPr>
          <w:rFonts w:hint="eastAsia" w:ascii="宋体" w:hAnsi="宋体" w:eastAsia="宋体" w:cs="宋体"/>
          <w:i/>
          <w:color w:val="auto"/>
          <w:sz w:val="32"/>
          <w:szCs w:val="32"/>
          <w:highlight w:val="none"/>
          <w:u w:val="single"/>
        </w:rPr>
      </w:pPr>
    </w:p>
    <w:p w14:paraId="5D3A3624">
      <w:pPr>
        <w:jc w:val="center"/>
        <w:rPr>
          <w:rFonts w:hint="eastAsia" w:ascii="宋体" w:hAnsi="宋体" w:eastAsia="宋体" w:cs="宋体"/>
          <w:i/>
          <w:color w:val="auto"/>
          <w:sz w:val="32"/>
          <w:szCs w:val="32"/>
          <w:highlight w:val="none"/>
          <w:u w:val="single"/>
        </w:rPr>
      </w:pPr>
    </w:p>
    <w:p w14:paraId="3AB671D9">
      <w:pPr>
        <w:jc w:val="center"/>
        <w:rPr>
          <w:rFonts w:hint="eastAsia" w:ascii="宋体" w:hAnsi="宋体" w:eastAsia="宋体" w:cs="宋体"/>
          <w:i/>
          <w:color w:val="auto"/>
          <w:sz w:val="32"/>
          <w:szCs w:val="32"/>
          <w:highlight w:val="none"/>
          <w:u w:val="single"/>
        </w:rPr>
      </w:pPr>
    </w:p>
    <w:p w14:paraId="5E953CCA">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142D9A33">
      <w:pPr>
        <w:rPr>
          <w:rFonts w:hint="default" w:ascii="Calibri" w:hAnsi="Calibri" w:eastAsia="宋体" w:cs="Times New Roman"/>
          <w:b/>
          <w:color w:val="auto"/>
          <w:sz w:val="32"/>
          <w:szCs w:val="32"/>
          <w:highlight w:val="none"/>
        </w:rPr>
      </w:pPr>
      <w:bookmarkStart w:id="216" w:name="_Toc14595"/>
      <w:r>
        <w:rPr>
          <w:rFonts w:hint="eastAsia" w:ascii="宋体" w:hAnsi="宋体" w:eastAsia="宋体" w:cs="宋体"/>
          <w:b/>
          <w:color w:val="auto"/>
          <w:sz w:val="32"/>
          <w:szCs w:val="32"/>
          <w:highlight w:val="none"/>
        </w:rPr>
        <w:t>四、</w:t>
      </w:r>
      <w:bookmarkEnd w:id="216"/>
      <w:bookmarkStart w:id="217" w:name="_Toc1876"/>
      <w:r>
        <w:rPr>
          <w:rFonts w:hint="eastAsia" w:ascii="Calibri" w:hAnsi="Calibri" w:eastAsia="宋体" w:cs="Times New Roman"/>
          <w:b/>
          <w:color w:val="auto"/>
          <w:sz w:val="32"/>
          <w:szCs w:val="32"/>
          <w:highlight w:val="none"/>
        </w:rPr>
        <w:t>法定代表人身份证明或授权委托书</w:t>
      </w:r>
    </w:p>
    <w:p w14:paraId="7FEDFD6D">
      <w:pPr>
        <w:spacing w:line="360" w:lineRule="auto"/>
        <w:jc w:val="center"/>
        <w:rPr>
          <w:rFonts w:hint="default" w:ascii="Calibri" w:hAnsi="Calibri" w:eastAsia="宋体" w:cs="宋体"/>
          <w:b/>
          <w:bCs/>
          <w:color w:val="auto"/>
          <w:sz w:val="28"/>
          <w:szCs w:val="28"/>
          <w:highlight w:val="none"/>
        </w:rPr>
      </w:pPr>
    </w:p>
    <w:p w14:paraId="1EAC87C2">
      <w:pPr>
        <w:spacing w:line="360" w:lineRule="auto"/>
        <w:jc w:val="center"/>
        <w:rPr>
          <w:rFonts w:hint="default" w:ascii="Calibri" w:hAnsi="Calibri" w:eastAsia="宋体" w:cs="宋体"/>
          <w:b/>
          <w:bCs/>
          <w:color w:val="auto"/>
          <w:sz w:val="28"/>
          <w:szCs w:val="28"/>
          <w:highlight w:val="none"/>
        </w:rPr>
      </w:pPr>
      <w:r>
        <w:rPr>
          <w:rFonts w:hint="default" w:ascii="Calibri" w:hAnsi="Calibri" w:eastAsia="宋体" w:cs="宋体"/>
          <w:b/>
          <w:bCs/>
          <w:color w:val="auto"/>
          <w:sz w:val="28"/>
          <w:szCs w:val="28"/>
          <w:highlight w:val="none"/>
        </w:rPr>
        <w:t>1</w:t>
      </w:r>
      <w:r>
        <w:rPr>
          <w:rFonts w:hint="eastAsia" w:ascii="Calibri" w:hAnsi="Calibri" w:eastAsia="宋体" w:cs="宋体"/>
          <w:b/>
          <w:bCs/>
          <w:color w:val="auto"/>
          <w:sz w:val="28"/>
          <w:szCs w:val="28"/>
          <w:highlight w:val="none"/>
        </w:rPr>
        <w:t>、法定代表人身份证明</w:t>
      </w:r>
    </w:p>
    <w:p w14:paraId="48479BD3">
      <w:pPr>
        <w:spacing w:line="360" w:lineRule="auto"/>
        <w:jc w:val="center"/>
        <w:rPr>
          <w:rFonts w:hint="default" w:ascii="Calibri" w:hAnsi="Calibri" w:eastAsia="宋体" w:cs="宋体"/>
          <w:color w:val="auto"/>
          <w:sz w:val="28"/>
          <w:szCs w:val="28"/>
          <w:highlight w:val="none"/>
        </w:rPr>
      </w:pPr>
    </w:p>
    <w:p w14:paraId="1F5B7248">
      <w:pPr>
        <w:spacing w:line="480" w:lineRule="exact"/>
        <w:rPr>
          <w:rFonts w:hint="default" w:ascii="仿宋" w:hAnsi="仿宋" w:eastAsia="仿宋" w:cs="仿宋"/>
          <w:color w:val="auto"/>
          <w:sz w:val="24"/>
          <w:szCs w:val="22"/>
          <w:highlight w:val="none"/>
        </w:rPr>
      </w:pPr>
    </w:p>
    <w:p w14:paraId="613F4862">
      <w:pPr>
        <w:spacing w:line="480" w:lineRule="exact"/>
        <w:ind w:firstLine="480"/>
        <w:rPr>
          <w:rFonts w:hint="eastAsia" w:ascii="宋体" w:hAnsi="宋体" w:eastAsia="宋体" w:cs="宋体"/>
          <w:color w:val="auto"/>
          <w:sz w:val="24"/>
          <w:szCs w:val="22"/>
          <w:highlight w:val="none"/>
        </w:rPr>
      </w:pPr>
      <w:r>
        <w:rPr>
          <w:rFonts w:hint="eastAsia" w:ascii="Calibri" w:hAnsi="Calibri" w:eastAsia="宋体" w:cs="Times New Roman"/>
          <w:color w:val="auto"/>
          <w:sz w:val="24"/>
          <w:szCs w:val="24"/>
          <w:highlight w:val="none"/>
        </w:rPr>
        <w:t>供应商名称</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p>
    <w:p w14:paraId="5D91C9D0">
      <w:pPr>
        <w:spacing w:line="480" w:lineRule="exact"/>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单位性质：</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p>
    <w:p w14:paraId="1F1C3CDC">
      <w:pPr>
        <w:spacing w:line="480" w:lineRule="exact"/>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地址：</w:t>
      </w:r>
      <w:r>
        <w:rPr>
          <w:rFonts w:hint="eastAsia" w:ascii="宋体" w:hAnsi="宋体" w:eastAsia="宋体" w:cs="宋体"/>
          <w:color w:val="auto"/>
          <w:sz w:val="24"/>
          <w:szCs w:val="22"/>
          <w:highlight w:val="none"/>
          <w:u w:val="single"/>
        </w:rPr>
        <w:t xml:space="preserve">                                   </w:t>
      </w:r>
    </w:p>
    <w:p w14:paraId="42D8ABB3">
      <w:pPr>
        <w:spacing w:line="480" w:lineRule="exact"/>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成立时间：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日</w:t>
      </w:r>
    </w:p>
    <w:p w14:paraId="61092A4E">
      <w:pPr>
        <w:spacing w:line="480" w:lineRule="exact"/>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经营期限：</w:t>
      </w:r>
      <w:r>
        <w:rPr>
          <w:rFonts w:hint="eastAsia" w:ascii="宋体" w:hAnsi="宋体" w:eastAsia="宋体" w:cs="宋体"/>
          <w:color w:val="auto"/>
          <w:sz w:val="24"/>
          <w:szCs w:val="22"/>
          <w:highlight w:val="none"/>
          <w:u w:val="single"/>
        </w:rPr>
        <w:t xml:space="preserve">                               </w:t>
      </w:r>
    </w:p>
    <w:p w14:paraId="78F08598">
      <w:pPr>
        <w:spacing w:line="480" w:lineRule="exact"/>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姓名：</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性别：</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年龄：</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职务：</w:t>
      </w:r>
      <w:r>
        <w:rPr>
          <w:rFonts w:hint="eastAsia" w:ascii="宋体" w:hAnsi="宋体" w:eastAsia="宋体" w:cs="宋体"/>
          <w:color w:val="auto"/>
          <w:sz w:val="24"/>
          <w:szCs w:val="22"/>
          <w:highlight w:val="none"/>
          <w:u w:val="single"/>
        </w:rPr>
        <w:t xml:space="preserve">        </w:t>
      </w:r>
    </w:p>
    <w:p w14:paraId="20EB9B4B">
      <w:pPr>
        <w:spacing w:line="480" w:lineRule="exact"/>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系</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r>
        <w:rPr>
          <w:rFonts w:hint="eastAsia" w:ascii="Calibri" w:hAnsi="Calibri" w:eastAsia="宋体" w:cs="Times New Roman"/>
          <w:color w:val="auto"/>
          <w:sz w:val="24"/>
          <w:szCs w:val="24"/>
          <w:highlight w:val="none"/>
        </w:rPr>
        <w:t>供应商名称</w:t>
      </w:r>
      <w:r>
        <w:rPr>
          <w:rFonts w:hint="eastAsia" w:ascii="宋体" w:hAnsi="宋体" w:eastAsia="宋体" w:cs="宋体"/>
          <w:color w:val="auto"/>
          <w:sz w:val="24"/>
          <w:szCs w:val="22"/>
          <w:highlight w:val="none"/>
        </w:rPr>
        <w:t>）的法定代表人。</w:t>
      </w:r>
    </w:p>
    <w:p w14:paraId="680DA699">
      <w:pPr>
        <w:spacing w:line="480" w:lineRule="exact"/>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特此证明。</w:t>
      </w:r>
    </w:p>
    <w:p w14:paraId="4AEC87F4">
      <w:pPr>
        <w:spacing w:line="600" w:lineRule="exact"/>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w:t>
      </w:r>
      <w:r>
        <w:rPr>
          <w:rFonts w:hint="eastAsia" w:ascii="宋体" w:hAnsi="宋体" w:eastAsia="宋体" w:cs="宋体"/>
          <w:b/>
          <w:color w:val="auto"/>
          <w:sz w:val="24"/>
          <w:szCs w:val="22"/>
          <w:highlight w:val="none"/>
        </w:rPr>
        <w:t>附法定代表人居民身份证</w:t>
      </w:r>
      <w:r>
        <w:rPr>
          <w:rFonts w:hint="eastAsia" w:ascii="宋体" w:hAnsi="宋体" w:eastAsia="宋体" w:cs="宋体"/>
          <w:color w:val="auto"/>
          <w:sz w:val="24"/>
          <w:szCs w:val="22"/>
          <w:highlight w:val="none"/>
        </w:rPr>
        <w:t>。）</w:t>
      </w:r>
    </w:p>
    <w:p w14:paraId="2AD0FFC3">
      <w:pPr>
        <w:spacing w:line="360" w:lineRule="auto"/>
        <w:rPr>
          <w:rFonts w:hint="eastAsia" w:ascii="宋体" w:hAnsi="宋体" w:eastAsia="宋体" w:cs="宋体"/>
          <w:color w:val="auto"/>
          <w:sz w:val="24"/>
          <w:szCs w:val="24"/>
          <w:highlight w:val="none"/>
        </w:rPr>
      </w:pPr>
    </w:p>
    <w:p w14:paraId="3A2C4365">
      <w:pPr>
        <w:spacing w:line="360" w:lineRule="auto"/>
        <w:rPr>
          <w:rFonts w:hint="eastAsia" w:ascii="Calibri" w:hAnsi="Calibri" w:eastAsia="宋体" w:cs="宋体"/>
          <w:color w:val="auto"/>
          <w:sz w:val="24"/>
          <w:szCs w:val="24"/>
          <w:highlight w:val="none"/>
        </w:rPr>
      </w:pPr>
    </w:p>
    <w:p w14:paraId="46E844C7">
      <w:pPr>
        <w:spacing w:line="360" w:lineRule="auto"/>
        <w:ind w:firstLine="4440"/>
        <w:rPr>
          <w:rFonts w:hint="default" w:ascii="Calibri" w:hAnsi="Calibri" w:eastAsia="宋体" w:cs="宋体"/>
          <w:color w:val="auto"/>
          <w:sz w:val="24"/>
          <w:szCs w:val="24"/>
          <w:highlight w:val="none"/>
        </w:rPr>
      </w:pPr>
      <w:r>
        <w:rPr>
          <w:rFonts w:hint="eastAsia" w:ascii="Calibri" w:hAnsi="Calibri" w:eastAsia="宋体" w:cs="宋体"/>
          <w:color w:val="auto"/>
          <w:sz w:val="24"/>
          <w:szCs w:val="24"/>
          <w:highlight w:val="none"/>
        </w:rPr>
        <w:t>单位名称：</w:t>
      </w:r>
      <w:r>
        <w:rPr>
          <w:rFonts w:hint="eastAsia" w:ascii="Calibri" w:hAnsi="Calibri" w:eastAsia="宋体" w:cs="Times New Roman"/>
          <w:color w:val="auto"/>
          <w:sz w:val="24"/>
          <w:szCs w:val="24"/>
          <w:highlight w:val="none"/>
        </w:rPr>
        <w:t>（加盖</w:t>
      </w:r>
      <w:r>
        <w:rPr>
          <w:rFonts w:hint="default" w:ascii="Calibri" w:hAnsi="Calibri" w:eastAsia="宋体" w:cs="Times New Roman"/>
          <w:color w:val="auto"/>
          <w:sz w:val="24"/>
          <w:szCs w:val="24"/>
          <w:highlight w:val="none"/>
        </w:rPr>
        <w:t>CA</w:t>
      </w:r>
      <w:r>
        <w:rPr>
          <w:rFonts w:hint="eastAsia" w:ascii="Calibri" w:hAnsi="Calibri" w:eastAsia="宋体" w:cs="Times New Roman"/>
          <w:color w:val="auto"/>
          <w:sz w:val="24"/>
          <w:szCs w:val="24"/>
          <w:highlight w:val="none"/>
        </w:rPr>
        <w:t>电子公章）</w:t>
      </w:r>
      <w:r>
        <w:rPr>
          <w:rFonts w:hint="default" w:ascii="Calibri" w:hAnsi="Calibri" w:eastAsia="宋体" w:cs="宋体"/>
          <w:color w:val="auto"/>
          <w:sz w:val="24"/>
          <w:szCs w:val="24"/>
          <w:highlight w:val="none"/>
        </w:rPr>
        <w:t xml:space="preserve">             </w:t>
      </w:r>
    </w:p>
    <w:p w14:paraId="71D41939">
      <w:pPr>
        <w:spacing w:line="360" w:lineRule="auto"/>
        <w:ind w:firstLine="5160"/>
        <w:rPr>
          <w:rFonts w:hint="default" w:ascii="Calibri" w:hAnsi="Calibri" w:eastAsia="宋体" w:cs="宋体"/>
          <w:color w:val="auto"/>
          <w:sz w:val="24"/>
          <w:szCs w:val="24"/>
          <w:highlight w:val="none"/>
        </w:rPr>
      </w:pPr>
      <w:r>
        <w:rPr>
          <w:rFonts w:hint="eastAsia" w:ascii="Calibri" w:hAnsi="Calibri" w:eastAsia="宋体" w:cs="宋体"/>
          <w:color w:val="auto"/>
          <w:sz w:val="24"/>
          <w:szCs w:val="24"/>
          <w:highlight w:val="none"/>
        </w:rPr>
        <w:t>年</w:t>
      </w:r>
      <w:r>
        <w:rPr>
          <w:rFonts w:hint="default" w:ascii="Calibri" w:hAnsi="Calibri" w:eastAsia="宋体" w:cs="宋体"/>
          <w:color w:val="auto"/>
          <w:sz w:val="24"/>
          <w:szCs w:val="24"/>
          <w:highlight w:val="none"/>
        </w:rPr>
        <w:t xml:space="preserve">   </w:t>
      </w:r>
      <w:r>
        <w:rPr>
          <w:rFonts w:hint="eastAsia" w:ascii="Calibri" w:hAnsi="Calibri" w:eastAsia="宋体" w:cs="宋体"/>
          <w:color w:val="auto"/>
          <w:sz w:val="24"/>
          <w:szCs w:val="24"/>
          <w:highlight w:val="none"/>
        </w:rPr>
        <w:t>月</w:t>
      </w:r>
      <w:r>
        <w:rPr>
          <w:rFonts w:hint="default" w:ascii="Calibri" w:hAnsi="Calibri" w:eastAsia="宋体" w:cs="宋体"/>
          <w:color w:val="auto"/>
          <w:sz w:val="24"/>
          <w:szCs w:val="24"/>
          <w:highlight w:val="none"/>
        </w:rPr>
        <w:t xml:space="preserve">   </w:t>
      </w:r>
      <w:r>
        <w:rPr>
          <w:rFonts w:hint="eastAsia" w:ascii="Calibri" w:hAnsi="Calibri" w:eastAsia="宋体" w:cs="宋体"/>
          <w:color w:val="auto"/>
          <w:sz w:val="24"/>
          <w:szCs w:val="24"/>
          <w:highlight w:val="none"/>
        </w:rPr>
        <w:t>日</w:t>
      </w:r>
      <w:r>
        <w:rPr>
          <w:rFonts w:hint="default" w:ascii="Calibri" w:hAnsi="Calibri" w:eastAsia="宋体" w:cs="宋体"/>
          <w:color w:val="auto"/>
          <w:sz w:val="24"/>
          <w:szCs w:val="24"/>
          <w:highlight w:val="none"/>
        </w:rPr>
        <w:t xml:space="preserve">                                   </w:t>
      </w:r>
    </w:p>
    <w:p w14:paraId="04534D45">
      <w:pPr>
        <w:spacing w:line="360" w:lineRule="auto"/>
        <w:rPr>
          <w:rFonts w:hint="default" w:ascii="Calibri" w:hAnsi="Calibri" w:eastAsia="宋体" w:cs="宋体"/>
          <w:color w:val="auto"/>
          <w:sz w:val="24"/>
          <w:szCs w:val="24"/>
          <w:highlight w:val="none"/>
        </w:rPr>
      </w:pPr>
    </w:p>
    <w:p w14:paraId="3351DF84">
      <w:pPr>
        <w:spacing w:line="360" w:lineRule="auto"/>
        <w:rPr>
          <w:rFonts w:hint="default" w:ascii="宋体" w:hAnsi="宋体" w:eastAsia="宋体" w:cs="宋体"/>
          <w:color w:val="auto"/>
          <w:sz w:val="24"/>
          <w:szCs w:val="24"/>
          <w:highlight w:val="none"/>
        </w:rPr>
      </w:pPr>
    </w:p>
    <w:p w14:paraId="650C31CE">
      <w:pPr>
        <w:spacing w:line="360" w:lineRule="auto"/>
        <w:rPr>
          <w:rFonts w:hint="eastAsia" w:ascii="宋体" w:hAnsi="宋体" w:eastAsia="宋体" w:cs="宋体"/>
          <w:color w:val="auto"/>
          <w:sz w:val="24"/>
          <w:szCs w:val="24"/>
          <w:highlight w:val="none"/>
        </w:rPr>
      </w:pPr>
    </w:p>
    <w:p w14:paraId="4DEB0F0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法定代表人身份证电子件</w:t>
      </w:r>
    </w:p>
    <w:p w14:paraId="7330D18D">
      <w:pPr>
        <w:spacing w:line="360" w:lineRule="auto"/>
        <w:ind w:firstLine="2280"/>
        <w:rPr>
          <w:rFonts w:hint="eastAsia" w:ascii="宋体" w:hAnsi="宋体" w:eastAsia="宋体" w:cs="宋体"/>
          <w:color w:val="auto"/>
          <w:sz w:val="24"/>
          <w:szCs w:val="24"/>
          <w:highlight w:val="none"/>
        </w:rPr>
      </w:pPr>
    </w:p>
    <w:p w14:paraId="65D56EA3">
      <w:pPr>
        <w:spacing w:line="360" w:lineRule="auto"/>
        <w:jc w:val="center"/>
        <w:rPr>
          <w:rFonts w:hint="eastAsia" w:ascii="Calibri" w:hAnsi="Calibri" w:eastAsia="宋体" w:cs="宋体"/>
          <w:b/>
          <w:bCs/>
          <w:color w:val="auto"/>
          <w:sz w:val="28"/>
          <w:szCs w:val="28"/>
          <w:highlight w:val="none"/>
        </w:rPr>
      </w:pPr>
    </w:p>
    <w:p w14:paraId="1D638C25">
      <w:pPr>
        <w:spacing w:line="360" w:lineRule="auto"/>
        <w:jc w:val="center"/>
        <w:rPr>
          <w:rFonts w:hint="default" w:ascii="Calibri" w:hAnsi="Calibri" w:eastAsia="宋体" w:cs="宋体"/>
          <w:b/>
          <w:bCs/>
          <w:color w:val="auto"/>
          <w:sz w:val="28"/>
          <w:szCs w:val="28"/>
          <w:highlight w:val="none"/>
        </w:rPr>
      </w:pPr>
    </w:p>
    <w:p w14:paraId="677AB244">
      <w:pPr>
        <w:spacing w:line="360" w:lineRule="auto"/>
        <w:rPr>
          <w:rFonts w:hint="default" w:ascii="Calibri" w:hAnsi="Calibri" w:eastAsia="宋体" w:cs="宋体"/>
          <w:b/>
          <w:bCs/>
          <w:color w:val="auto"/>
          <w:sz w:val="28"/>
          <w:szCs w:val="28"/>
          <w:highlight w:val="none"/>
        </w:rPr>
      </w:pPr>
      <w:r>
        <w:rPr>
          <w:rFonts w:hint="default" w:ascii="Calibri" w:hAnsi="Calibri" w:eastAsia="宋体" w:cs="宋体"/>
          <w:b/>
          <w:bCs/>
          <w:color w:val="auto"/>
          <w:sz w:val="28"/>
          <w:szCs w:val="28"/>
          <w:highlight w:val="none"/>
        </w:rPr>
        <w:br w:type="page" w:clear="all"/>
      </w:r>
    </w:p>
    <w:p w14:paraId="663D0536">
      <w:pPr>
        <w:spacing w:line="360" w:lineRule="auto"/>
        <w:jc w:val="center"/>
        <w:rPr>
          <w:rFonts w:hint="default" w:ascii="Calibri" w:hAnsi="Calibri" w:eastAsia="宋体" w:cs="宋体"/>
          <w:b/>
          <w:bCs/>
          <w:color w:val="auto"/>
          <w:sz w:val="28"/>
          <w:szCs w:val="28"/>
          <w:highlight w:val="none"/>
        </w:rPr>
      </w:pPr>
      <w:r>
        <w:rPr>
          <w:rFonts w:hint="default" w:ascii="Calibri" w:hAnsi="Calibri" w:eastAsia="宋体" w:cs="宋体"/>
          <w:b/>
          <w:bCs/>
          <w:color w:val="auto"/>
          <w:sz w:val="28"/>
          <w:szCs w:val="28"/>
          <w:highlight w:val="none"/>
        </w:rPr>
        <w:t>2</w:t>
      </w:r>
      <w:r>
        <w:rPr>
          <w:rFonts w:hint="eastAsia" w:ascii="Calibri" w:hAnsi="Calibri" w:eastAsia="宋体" w:cs="宋体"/>
          <w:b/>
          <w:bCs/>
          <w:color w:val="auto"/>
          <w:sz w:val="28"/>
          <w:szCs w:val="28"/>
          <w:highlight w:val="none"/>
        </w:rPr>
        <w:t>、授权委托书</w:t>
      </w:r>
    </w:p>
    <w:p w14:paraId="43278C81">
      <w:pPr>
        <w:tabs>
          <w:tab w:val="left" w:pos="360"/>
        </w:tabs>
        <w:spacing w:line="560" w:lineRule="exact"/>
        <w:ind w:firstLine="480"/>
        <w:rPr>
          <w:rFonts w:hint="default" w:ascii="Times New Roman" w:hAnsi="Times New Roman" w:eastAsia="宋体" w:cs="Times New Roman"/>
          <w:color w:val="auto"/>
          <w:sz w:val="24"/>
          <w:szCs w:val="24"/>
          <w:highlight w:val="none"/>
        </w:rPr>
      </w:pPr>
    </w:p>
    <w:p w14:paraId="0CA41FB0">
      <w:pPr>
        <w:tabs>
          <w:tab w:val="left" w:pos="360"/>
        </w:tabs>
        <w:spacing w:line="560" w:lineRule="exact"/>
        <w:ind w:firstLine="480"/>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本授权书声明：</w:t>
      </w:r>
      <w:r>
        <w:rPr>
          <w:rFonts w:hint="default" w:ascii="Calibri" w:hAnsi="Calibri" w:eastAsia="宋体" w:cs="Times New Roman"/>
          <w:color w:val="auto"/>
          <w:sz w:val="24"/>
          <w:szCs w:val="24"/>
          <w:highlight w:val="none"/>
        </w:rPr>
        <w:t>____________</w:t>
      </w:r>
      <w:r>
        <w:rPr>
          <w:rFonts w:hint="eastAsia" w:ascii="Calibri" w:hAnsi="Calibri" w:eastAsia="宋体" w:cs="Times New Roman"/>
          <w:color w:val="auto"/>
          <w:sz w:val="24"/>
          <w:szCs w:val="24"/>
          <w:highlight w:val="none"/>
        </w:rPr>
        <w:t>（供应商名称）授权</w:t>
      </w:r>
      <w:r>
        <w:rPr>
          <w:rFonts w:hint="default" w:ascii="Calibri" w:hAnsi="Calibri" w:eastAsia="宋体" w:cs="Times New Roman"/>
          <w:color w:val="auto"/>
          <w:sz w:val="24"/>
          <w:szCs w:val="24"/>
          <w:highlight w:val="none"/>
        </w:rPr>
        <w:t>________________</w:t>
      </w:r>
      <w:r>
        <w:rPr>
          <w:rFonts w:hint="eastAsia" w:ascii="Calibri" w:hAnsi="Calibri" w:eastAsia="宋体" w:cs="Times New Roman"/>
          <w:color w:val="auto"/>
          <w:sz w:val="24"/>
          <w:szCs w:val="24"/>
          <w:highlight w:val="none"/>
        </w:rPr>
        <w:t>（被授权人的姓名）为我方就</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号</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项目采购活动的合法代理人，以本单位名义全权处理一切与该项目采购有关的事务。</w:t>
      </w:r>
    </w:p>
    <w:p w14:paraId="15C3138F">
      <w:pPr>
        <w:tabs>
          <w:tab w:val="left" w:pos="360"/>
        </w:tabs>
        <w:spacing w:line="560" w:lineRule="exact"/>
        <w:ind w:firstLine="480"/>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本授权书于</w:t>
      </w:r>
      <w:r>
        <w:rPr>
          <w:rFonts w:hint="default" w:ascii="Calibri" w:hAnsi="Calibri" w:eastAsia="宋体" w:cs="Times New Roman"/>
          <w:color w:val="auto"/>
          <w:sz w:val="24"/>
          <w:szCs w:val="24"/>
          <w:highlight w:val="none"/>
        </w:rPr>
        <w:t>______</w:t>
      </w:r>
      <w:r>
        <w:rPr>
          <w:rFonts w:hint="eastAsia" w:ascii="Calibri" w:hAnsi="Calibri" w:eastAsia="宋体" w:cs="Times New Roman"/>
          <w:color w:val="auto"/>
          <w:sz w:val="24"/>
          <w:szCs w:val="24"/>
          <w:highlight w:val="none"/>
        </w:rPr>
        <w:t>年</w:t>
      </w:r>
      <w:r>
        <w:rPr>
          <w:rFonts w:hint="default" w:ascii="Calibri" w:hAnsi="Calibri" w:eastAsia="宋体" w:cs="Times New Roman"/>
          <w:color w:val="auto"/>
          <w:sz w:val="24"/>
          <w:szCs w:val="24"/>
          <w:highlight w:val="none"/>
        </w:rPr>
        <w:t>____</w:t>
      </w:r>
      <w:r>
        <w:rPr>
          <w:rFonts w:hint="eastAsia" w:ascii="Calibri" w:hAnsi="Calibri" w:eastAsia="宋体" w:cs="Times New Roman"/>
          <w:color w:val="auto"/>
          <w:sz w:val="24"/>
          <w:szCs w:val="24"/>
          <w:highlight w:val="none"/>
        </w:rPr>
        <w:t>月</w:t>
      </w:r>
      <w:r>
        <w:rPr>
          <w:rFonts w:hint="default" w:ascii="Calibri" w:hAnsi="Calibri" w:eastAsia="宋体" w:cs="Times New Roman"/>
          <w:color w:val="auto"/>
          <w:sz w:val="24"/>
          <w:szCs w:val="24"/>
          <w:highlight w:val="none"/>
        </w:rPr>
        <w:t>____</w:t>
      </w:r>
      <w:r>
        <w:rPr>
          <w:rFonts w:hint="eastAsia" w:ascii="Calibri" w:hAnsi="Calibri" w:eastAsia="宋体" w:cs="Times New Roman"/>
          <w:color w:val="auto"/>
          <w:sz w:val="24"/>
          <w:szCs w:val="24"/>
          <w:highlight w:val="none"/>
        </w:rPr>
        <w:t>日起生效，特此声明。</w:t>
      </w:r>
    </w:p>
    <w:p w14:paraId="7C68C9A2">
      <w:pPr>
        <w:tabs>
          <w:tab w:val="left" w:pos="360"/>
        </w:tabs>
        <w:spacing w:line="560" w:lineRule="exac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        </w:t>
      </w:r>
    </w:p>
    <w:p w14:paraId="49D3475E">
      <w:pPr>
        <w:tabs>
          <w:tab w:val="left" w:pos="360"/>
        </w:tabs>
        <w:spacing w:line="560" w:lineRule="exact"/>
        <w:ind w:firstLine="960"/>
        <w:rPr>
          <w:rFonts w:hint="default" w:ascii="Calibri" w:hAnsi="Calibri" w:eastAsia="宋体" w:cs="Times New Roman"/>
          <w:color w:val="auto"/>
          <w:sz w:val="24"/>
          <w:szCs w:val="24"/>
          <w:highlight w:val="none"/>
        </w:rPr>
      </w:pPr>
    </w:p>
    <w:p w14:paraId="3D9FBF41">
      <w:pPr>
        <w:tabs>
          <w:tab w:val="left" w:pos="360"/>
        </w:tabs>
        <w:spacing w:line="560" w:lineRule="exact"/>
        <w:ind w:firstLine="1200"/>
        <w:rPr>
          <w:rFonts w:hint="default" w:ascii="Calibri" w:hAnsi="Calibri" w:eastAsia="宋体" w:cs="Times New Roman"/>
          <w:color w:val="auto"/>
          <w:sz w:val="24"/>
          <w:szCs w:val="24"/>
          <w:highlight w:val="none"/>
          <w:u w:val="single"/>
        </w:rPr>
      </w:pPr>
      <w:r>
        <w:rPr>
          <w:rFonts w:hint="eastAsia" w:ascii="Calibri" w:hAnsi="Calibri" w:eastAsia="宋体" w:cs="Times New Roman"/>
          <w:color w:val="auto"/>
          <w:sz w:val="24"/>
          <w:szCs w:val="24"/>
          <w:highlight w:val="none"/>
        </w:rPr>
        <w:t>被授权人身份证号码：</w:t>
      </w:r>
      <w:r>
        <w:rPr>
          <w:rFonts w:hint="default" w:ascii="Calibri" w:hAnsi="Calibri" w:eastAsia="宋体" w:cs="Times New Roman"/>
          <w:color w:val="auto"/>
          <w:sz w:val="24"/>
          <w:szCs w:val="24"/>
          <w:highlight w:val="none"/>
          <w:u w:val="single"/>
        </w:rPr>
        <w:t xml:space="preserve">                              </w:t>
      </w:r>
    </w:p>
    <w:p w14:paraId="77E83E9C">
      <w:pPr>
        <w:tabs>
          <w:tab w:val="left" w:pos="360"/>
        </w:tabs>
        <w:spacing w:line="560" w:lineRule="exact"/>
        <w:rPr>
          <w:rFonts w:hint="default" w:ascii="Calibri" w:hAnsi="Calibri" w:eastAsia="宋体" w:cs="Times New Roman"/>
          <w:color w:val="auto"/>
          <w:sz w:val="24"/>
          <w:szCs w:val="24"/>
          <w:highlight w:val="none"/>
          <w:u w:val="single"/>
        </w:rPr>
      </w:pPr>
      <w:r>
        <w:rPr>
          <w:rFonts w:hint="default"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被授权人联系电话：（手机）</w:t>
      </w:r>
      <w:r>
        <w:rPr>
          <w:rFonts w:hint="default" w:ascii="Calibri" w:hAnsi="Calibri" w:eastAsia="宋体" w:cs="Times New Roman"/>
          <w:color w:val="auto"/>
          <w:sz w:val="24"/>
          <w:szCs w:val="24"/>
          <w:highlight w:val="none"/>
          <w:u w:val="single"/>
        </w:rPr>
        <w:t xml:space="preserve">                          </w:t>
      </w:r>
    </w:p>
    <w:p w14:paraId="419CCD2A">
      <w:pPr>
        <w:tabs>
          <w:tab w:val="left" w:pos="360"/>
        </w:tabs>
        <w:spacing w:line="560" w:lineRule="exact"/>
        <w:ind w:firstLine="1200"/>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授权单位名称：</w:t>
      </w:r>
      <w:r>
        <w:rPr>
          <w:rFonts w:hint="eastAsia" w:ascii="Calibri" w:hAnsi="Calibri" w:eastAsia="宋体" w:cs="Times New Roman"/>
          <w:color w:val="auto"/>
          <w:sz w:val="24"/>
          <w:szCs w:val="24"/>
          <w:highlight w:val="none"/>
          <w:u w:val="single"/>
        </w:rPr>
        <w:t>（加盖</w:t>
      </w:r>
      <w:r>
        <w:rPr>
          <w:rFonts w:hint="default" w:ascii="Calibri" w:hAnsi="Calibri" w:eastAsia="宋体" w:cs="Times New Roman"/>
          <w:color w:val="auto"/>
          <w:sz w:val="24"/>
          <w:szCs w:val="24"/>
          <w:highlight w:val="none"/>
          <w:u w:val="single"/>
        </w:rPr>
        <w:t>CA</w:t>
      </w:r>
      <w:r>
        <w:rPr>
          <w:rFonts w:hint="eastAsia" w:ascii="Calibri" w:hAnsi="Calibri" w:eastAsia="宋体" w:cs="Times New Roman"/>
          <w:color w:val="auto"/>
          <w:sz w:val="24"/>
          <w:szCs w:val="24"/>
          <w:highlight w:val="none"/>
          <w:u w:val="single"/>
        </w:rPr>
        <w:t>电子公章）</w:t>
      </w:r>
    </w:p>
    <w:p w14:paraId="6DC9437C">
      <w:pPr>
        <w:tabs>
          <w:tab w:val="left" w:pos="360"/>
        </w:tabs>
        <w:spacing w:line="560" w:lineRule="exact"/>
        <w:ind w:firstLine="480"/>
        <w:rPr>
          <w:rFonts w:hint="default" w:ascii="Calibri" w:hAnsi="Calibri" w:eastAsia="宋体" w:cs="Times New Roman"/>
          <w:color w:val="auto"/>
          <w:sz w:val="24"/>
          <w:szCs w:val="24"/>
          <w:highlight w:val="none"/>
          <w:u w:val="single"/>
        </w:rPr>
      </w:pPr>
      <w:r>
        <w:rPr>
          <w:rFonts w:hint="default"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单位地址：</w:t>
      </w:r>
      <w:r>
        <w:rPr>
          <w:rFonts w:hint="default" w:ascii="Calibri" w:hAnsi="Calibri" w:eastAsia="宋体" w:cs="Times New Roman"/>
          <w:color w:val="auto"/>
          <w:sz w:val="24"/>
          <w:szCs w:val="24"/>
          <w:highlight w:val="none"/>
          <w:u w:val="single"/>
        </w:rPr>
        <w:t xml:space="preserve">                                         </w:t>
      </w:r>
    </w:p>
    <w:p w14:paraId="78B7E2C4">
      <w:pPr>
        <w:tabs>
          <w:tab w:val="left" w:pos="360"/>
        </w:tabs>
        <w:spacing w:line="560" w:lineRule="exact"/>
        <w:ind w:firstLine="480"/>
        <w:rPr>
          <w:rFonts w:hint="default" w:ascii="Calibri" w:hAnsi="Calibri" w:eastAsia="宋体" w:cs="Times New Roman"/>
          <w:color w:val="auto"/>
          <w:sz w:val="24"/>
          <w:szCs w:val="24"/>
          <w:highlight w:val="none"/>
          <w:u w:val="single"/>
        </w:rPr>
      </w:pPr>
      <w:r>
        <w:rPr>
          <w:rFonts w:hint="default"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日期：</w:t>
      </w:r>
      <w:bookmarkStart w:id="218" w:name="_Hlt26671380"/>
      <w:bookmarkEnd w:id="218"/>
      <w:bookmarkStart w:id="219" w:name="_Hlt26955070"/>
      <w:bookmarkEnd w:id="219"/>
      <w:bookmarkStart w:id="220" w:name="_格式3__银行出具的资信证明"/>
      <w:bookmarkEnd w:id="220"/>
      <w:r>
        <w:rPr>
          <w:rFonts w:hint="default" w:ascii="Calibri" w:hAnsi="Calibri" w:eastAsia="宋体" w:cs="Times New Roman"/>
          <w:color w:val="auto"/>
          <w:sz w:val="24"/>
          <w:szCs w:val="24"/>
          <w:highlight w:val="none"/>
          <w:u w:val="single"/>
        </w:rPr>
        <w:t xml:space="preserve">                                         </w:t>
      </w:r>
    </w:p>
    <w:p w14:paraId="32380AE6">
      <w:pPr>
        <w:rPr>
          <w:rFonts w:hint="default" w:ascii="Calibri" w:hAnsi="Calibri" w:eastAsia="宋体" w:cs="Times New Roman"/>
          <w:color w:val="auto"/>
          <w:szCs w:val="22"/>
          <w:highlight w:val="none"/>
        </w:rPr>
      </w:pPr>
    </w:p>
    <w:p w14:paraId="64E9CB37">
      <w:pPr>
        <w:spacing w:line="360" w:lineRule="auto"/>
        <w:jc w:val="left"/>
        <w:outlineLvl w:val="1"/>
        <w:rPr>
          <w:rFonts w:hint="default" w:ascii="Calibri" w:hAnsi="Calibri" w:eastAsia="宋体" w:cs="宋体"/>
          <w:color w:val="auto"/>
          <w:sz w:val="24"/>
          <w:szCs w:val="24"/>
          <w:highlight w:val="none"/>
        </w:rPr>
      </w:pPr>
    </w:p>
    <w:p w14:paraId="19FD992C">
      <w:pPr>
        <w:spacing w:line="360" w:lineRule="auto"/>
        <w:jc w:val="left"/>
        <w:outlineLvl w:val="1"/>
        <w:rPr>
          <w:rFonts w:hint="default" w:ascii="Calibri" w:hAnsi="Calibri" w:eastAsia="宋体" w:cs="宋体"/>
          <w:color w:val="auto"/>
          <w:sz w:val="24"/>
          <w:szCs w:val="24"/>
          <w:highlight w:val="none"/>
        </w:rPr>
      </w:pPr>
    </w:p>
    <w:p w14:paraId="2458D227">
      <w:pPr>
        <w:spacing w:line="360" w:lineRule="auto"/>
        <w:jc w:val="left"/>
        <w:outlineLvl w:val="1"/>
        <w:rPr>
          <w:rFonts w:hint="default" w:ascii="Calibri" w:hAnsi="Calibri" w:eastAsia="宋体" w:cs="宋体"/>
          <w:color w:val="auto"/>
          <w:sz w:val="24"/>
          <w:szCs w:val="24"/>
          <w:highlight w:val="none"/>
        </w:rPr>
      </w:pPr>
    </w:p>
    <w:p w14:paraId="1A289657">
      <w:pPr>
        <w:spacing w:line="360" w:lineRule="auto"/>
        <w:rPr>
          <w:rFonts w:hint="default" w:ascii="宋体" w:hAnsi="宋体" w:eastAsia="宋体" w:cs="宋体"/>
          <w:color w:val="auto"/>
          <w:sz w:val="24"/>
          <w:szCs w:val="24"/>
          <w:highlight w:val="none"/>
        </w:rPr>
      </w:pPr>
      <w:r>
        <w:rPr>
          <w:rFonts w:hint="eastAsia" w:ascii="Calibri" w:hAnsi="Calibri" w:eastAsia="宋体" w:cs="宋体"/>
          <w:color w:val="auto"/>
          <w:sz w:val="24"/>
          <w:szCs w:val="24"/>
          <w:highlight w:val="none"/>
        </w:rPr>
        <w:t>附法定代表人身份证</w:t>
      </w:r>
      <w:r>
        <w:rPr>
          <w:rFonts w:hint="eastAsia" w:ascii="宋体" w:hAnsi="宋体" w:eastAsia="宋体" w:cs="宋体"/>
          <w:color w:val="auto"/>
          <w:sz w:val="24"/>
          <w:szCs w:val="24"/>
          <w:highlight w:val="none"/>
        </w:rPr>
        <w:t>电子件</w:t>
      </w:r>
    </w:p>
    <w:p w14:paraId="0BFB6B11">
      <w:pPr>
        <w:spacing w:line="360" w:lineRule="auto"/>
        <w:rPr>
          <w:rFonts w:hint="eastAsia" w:ascii="Calibri" w:hAnsi="Calibri" w:eastAsia="宋体" w:cs="宋体"/>
          <w:color w:val="auto"/>
          <w:sz w:val="24"/>
          <w:szCs w:val="24"/>
          <w:highlight w:val="none"/>
        </w:rPr>
      </w:pPr>
    </w:p>
    <w:p w14:paraId="1AB66767">
      <w:pPr>
        <w:outlineLvl w:val="1"/>
        <w:rPr>
          <w:rFonts w:hint="eastAsia" w:ascii="宋体" w:hAnsi="宋体" w:eastAsia="宋体" w:cs="宋体"/>
          <w:color w:val="auto"/>
          <w:sz w:val="24"/>
          <w:szCs w:val="24"/>
          <w:highlight w:val="none"/>
        </w:rPr>
      </w:pPr>
      <w:r>
        <w:rPr>
          <w:rFonts w:hint="eastAsia" w:ascii="Calibri" w:hAnsi="Calibri" w:eastAsia="宋体" w:cs="宋体"/>
          <w:color w:val="auto"/>
          <w:sz w:val="24"/>
          <w:szCs w:val="24"/>
          <w:highlight w:val="none"/>
        </w:rPr>
        <w:t>附被授权人身份证</w:t>
      </w:r>
      <w:r>
        <w:rPr>
          <w:rFonts w:hint="eastAsia" w:ascii="宋体" w:hAnsi="宋体" w:eastAsia="宋体" w:cs="宋体"/>
          <w:color w:val="auto"/>
          <w:sz w:val="24"/>
          <w:szCs w:val="24"/>
          <w:highlight w:val="none"/>
        </w:rPr>
        <w:t>电子件</w:t>
      </w:r>
    </w:p>
    <w:p w14:paraId="51722E16">
      <w:pPr>
        <w:outlineLvl w:val="1"/>
        <w:rPr>
          <w:rFonts w:hint="eastAsia" w:ascii="宋体" w:hAnsi="宋体" w:eastAsia="宋体" w:cs="宋体"/>
          <w:color w:val="auto"/>
          <w:sz w:val="24"/>
          <w:szCs w:val="24"/>
          <w:highlight w:val="none"/>
        </w:rPr>
      </w:pPr>
    </w:p>
    <w:p w14:paraId="58015072">
      <w:pPr>
        <w:outlineLvl w:val="1"/>
        <w:rPr>
          <w:rFonts w:hint="eastAsia" w:ascii="宋体" w:hAnsi="宋体" w:eastAsia="宋体" w:cs="宋体"/>
          <w:color w:val="auto"/>
          <w:sz w:val="24"/>
          <w:szCs w:val="24"/>
          <w:highlight w:val="none"/>
        </w:rPr>
      </w:pPr>
    </w:p>
    <w:p w14:paraId="56C4323B">
      <w:pPr>
        <w:outlineLvl w:val="1"/>
        <w:rPr>
          <w:rFonts w:hint="eastAsia" w:ascii="宋体" w:hAnsi="宋体" w:eastAsia="宋体" w:cs="宋体"/>
          <w:color w:val="auto"/>
          <w:sz w:val="24"/>
          <w:szCs w:val="24"/>
          <w:highlight w:val="none"/>
        </w:rPr>
      </w:pPr>
    </w:p>
    <w:p w14:paraId="5EAA5093">
      <w:pPr>
        <w:outlineLvl w:val="1"/>
        <w:rPr>
          <w:rFonts w:hint="eastAsia" w:ascii="宋体" w:hAnsi="宋体" w:eastAsia="宋体" w:cs="宋体"/>
          <w:color w:val="auto"/>
          <w:sz w:val="24"/>
          <w:szCs w:val="24"/>
          <w:highlight w:val="none"/>
        </w:rPr>
      </w:pPr>
    </w:p>
    <w:p w14:paraId="665635CF">
      <w:pPr>
        <w:outlineLvl w:val="1"/>
        <w:rPr>
          <w:rFonts w:hint="eastAsia" w:ascii="宋体" w:hAnsi="宋体" w:eastAsia="宋体" w:cs="宋体"/>
          <w:color w:val="auto"/>
          <w:sz w:val="24"/>
          <w:szCs w:val="24"/>
          <w:highlight w:val="none"/>
        </w:rPr>
      </w:pPr>
    </w:p>
    <w:p w14:paraId="1809120E">
      <w:pPr>
        <w:outlineLvl w:val="1"/>
        <w:rPr>
          <w:rFonts w:hint="eastAsia" w:ascii="宋体" w:hAnsi="宋体" w:eastAsia="宋体" w:cs="宋体"/>
          <w:color w:val="auto"/>
          <w:sz w:val="24"/>
          <w:szCs w:val="24"/>
          <w:highlight w:val="none"/>
        </w:rPr>
      </w:pPr>
    </w:p>
    <w:p w14:paraId="10AB1ECA">
      <w:pPr>
        <w:outlineLvl w:val="1"/>
        <w:rPr>
          <w:rFonts w:hint="eastAsia" w:ascii="宋体" w:hAnsi="宋体" w:eastAsia="宋体" w:cs="宋体"/>
          <w:color w:val="auto"/>
          <w:sz w:val="24"/>
          <w:szCs w:val="24"/>
          <w:highlight w:val="none"/>
        </w:rPr>
      </w:pPr>
    </w:p>
    <w:p w14:paraId="51BCF8A5">
      <w:pPr>
        <w:outlineLvl w:val="1"/>
        <w:rPr>
          <w:rFonts w:hint="eastAsia" w:ascii="宋体" w:hAnsi="宋体" w:eastAsia="宋体" w:cs="宋体"/>
          <w:color w:val="auto"/>
          <w:sz w:val="24"/>
          <w:szCs w:val="24"/>
          <w:highlight w:val="none"/>
        </w:rPr>
      </w:pPr>
    </w:p>
    <w:p w14:paraId="7D2302A0">
      <w:pPr>
        <w:outlineLvl w:val="1"/>
        <w:rPr>
          <w:rFonts w:hint="eastAsia" w:ascii="宋体" w:hAnsi="宋体" w:eastAsia="宋体" w:cs="宋体"/>
          <w:color w:val="auto"/>
          <w:sz w:val="24"/>
          <w:szCs w:val="24"/>
          <w:highlight w:val="none"/>
        </w:rPr>
      </w:pPr>
    </w:p>
    <w:p w14:paraId="2FDEBF21">
      <w:pPr>
        <w:outlineLvl w:val="1"/>
        <w:rPr>
          <w:rFonts w:hint="eastAsia" w:ascii="宋体" w:hAnsi="宋体" w:eastAsia="宋体" w:cs="宋体"/>
          <w:color w:val="auto"/>
          <w:sz w:val="24"/>
          <w:szCs w:val="24"/>
          <w:highlight w:val="none"/>
        </w:rPr>
      </w:pPr>
    </w:p>
    <w:p w14:paraId="68D4592A">
      <w:pPr>
        <w:outlineLvl w:val="1"/>
        <w:rPr>
          <w:rFonts w:hint="eastAsia" w:ascii="宋体" w:hAnsi="宋体" w:eastAsia="宋体" w:cs="宋体"/>
          <w:color w:val="auto"/>
          <w:sz w:val="24"/>
          <w:szCs w:val="24"/>
          <w:highlight w:val="none"/>
        </w:rPr>
      </w:pPr>
    </w:p>
    <w:p w14:paraId="10DD5757">
      <w:pPr>
        <w:outlineLvl w:val="1"/>
        <w:rPr>
          <w:rFonts w:hint="eastAsia" w:ascii="宋体" w:hAnsi="宋体" w:eastAsia="宋体" w:cs="宋体"/>
          <w:color w:val="auto"/>
          <w:sz w:val="24"/>
          <w:szCs w:val="24"/>
          <w:highlight w:val="none"/>
        </w:rPr>
      </w:pPr>
    </w:p>
    <w:p w14:paraId="65F3EEDF">
      <w:pPr>
        <w:outlineLvl w:val="1"/>
        <w:rPr>
          <w:rFonts w:hint="eastAsia" w:ascii="宋体" w:hAnsi="宋体" w:eastAsia="宋体" w:cs="宋体"/>
          <w:color w:val="auto"/>
          <w:sz w:val="24"/>
          <w:szCs w:val="24"/>
          <w:highlight w:val="none"/>
        </w:rPr>
      </w:pPr>
    </w:p>
    <w:p w14:paraId="01437FB4">
      <w:pPr>
        <w:outlineLvl w:val="1"/>
        <w:rPr>
          <w:rFonts w:hint="eastAsia" w:ascii="宋体" w:hAnsi="宋体" w:eastAsia="宋体" w:cs="宋体"/>
          <w:color w:val="auto"/>
          <w:sz w:val="24"/>
          <w:szCs w:val="24"/>
          <w:highlight w:val="none"/>
        </w:rPr>
      </w:pPr>
    </w:p>
    <w:p w14:paraId="07424470">
      <w:pPr>
        <w:outlineLvl w:val="1"/>
        <w:rPr>
          <w:rFonts w:hint="eastAsia" w:ascii="宋体" w:hAnsi="宋体" w:eastAsia="宋体" w:cs="宋体"/>
          <w:color w:val="auto"/>
          <w:sz w:val="24"/>
          <w:szCs w:val="20"/>
          <w:highlight w:val="none"/>
        </w:rPr>
      </w:pPr>
      <w:r>
        <w:rPr>
          <w:rFonts w:hint="eastAsia" w:ascii="宋体" w:hAnsi="宋体" w:eastAsia="宋体" w:cs="宋体"/>
          <w:b/>
          <w:color w:val="auto"/>
          <w:sz w:val="32"/>
          <w:szCs w:val="32"/>
          <w:highlight w:val="none"/>
        </w:rPr>
        <w:t>五、开标一览表</w:t>
      </w:r>
      <w:bookmarkEnd w:id="217"/>
    </w:p>
    <w:p w14:paraId="055B6357">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7D752586">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名称：</w:t>
      </w:r>
    </w:p>
    <w:p w14:paraId="23D8D0EF">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17BD9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noWrap w:val="0"/>
            <w:vAlign w:val="center"/>
          </w:tcPr>
          <w:p w14:paraId="6B1C0070">
            <w:pPr>
              <w:widowControl w:val="0"/>
              <w:spacing w:before="120" w:after="120" w:line="500" w:lineRule="exact"/>
              <w:ind w:firstLine="0"/>
              <w:jc w:val="left"/>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宋体"/>
                <w:color w:val="auto"/>
                <w:sz w:val="24"/>
                <w:szCs w:val="24"/>
                <w:highlight w:val="none"/>
                <w:lang w:val="en-US" w:eastAsia="zh-CN" w:bidi="ar-SA"/>
              </w:rPr>
              <w:t>投标单价：</w:t>
            </w:r>
            <w:r>
              <w:rPr>
                <w:rFonts w:hint="eastAsia" w:ascii="Times New Roman" w:hAnsi="Times New Roman" w:eastAsia="宋体" w:cs="Times New Roman"/>
                <w:b/>
                <w:color w:val="auto"/>
                <w:sz w:val="21"/>
                <w:szCs w:val="24"/>
                <w:highlight w:val="non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宋体"/>
                <w:color w:val="auto"/>
                <w:sz w:val="24"/>
                <w:szCs w:val="24"/>
                <w:highlight w:val="none"/>
                <w:u w:val="single"/>
                <w:lang w:val="en-US" w:eastAsia="zh-CN" w:bidi="ar-SA"/>
              </w:rPr>
              <w:t xml:space="preserve">  </w:t>
            </w:r>
            <w:r>
              <w:rPr>
                <w:rFonts w:hint="eastAsia" w:ascii="Times New Roman" w:hAnsi="Times New Roman" w:eastAsia="宋体" w:cs="宋体"/>
                <w:color w:val="auto"/>
                <w:sz w:val="24"/>
                <w:szCs w:val="24"/>
                <w:highlight w:val="none"/>
                <w:lang w:val="en-US" w:eastAsia="zh-CN" w:bidi="ar-SA"/>
              </w:rPr>
              <w:t>元/亩</w:t>
            </w:r>
          </w:p>
        </w:tc>
      </w:tr>
      <w:tr w14:paraId="3C0E4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noWrap w:val="0"/>
            <w:vAlign w:val="center"/>
          </w:tcPr>
          <w:p w14:paraId="4F4C8408">
            <w:pPr>
              <w:spacing w:line="360" w:lineRule="exact"/>
              <w:rPr>
                <w:rFonts w:hint="default" w:ascii="Times New Roman" w:hAnsi="Times New Roman" w:eastAsia="宋体" w:cs="宋体"/>
                <w:color w:val="auto"/>
                <w:highlight w:val="none"/>
              </w:rPr>
            </w:pPr>
            <w:r>
              <w:rPr>
                <w:rFonts w:hint="eastAsia" w:ascii="Times New Roman" w:hAnsi="Times New Roman" w:eastAsia="宋体" w:cs="宋体"/>
                <w:color w:val="auto"/>
                <w:sz w:val="24"/>
                <w:szCs w:val="24"/>
                <w:highlight w:val="none"/>
              </w:rPr>
              <w:t>合同履行期限：</w:t>
            </w:r>
            <w:r>
              <w:rPr>
                <w:rFonts w:hint="eastAsia" w:ascii="仿宋_GB2312" w:hAnsi="仿宋_GB2312" w:eastAsia="仿宋_GB2312" w:cs="仿宋_GB2312"/>
                <w:color w:val="auto"/>
                <w:sz w:val="24"/>
                <w:highlight w:val="none"/>
              </w:rPr>
              <w:t xml:space="preserve">           </w:t>
            </w:r>
          </w:p>
        </w:tc>
      </w:tr>
    </w:tbl>
    <w:p w14:paraId="77C98B53">
      <w:pPr>
        <w:rPr>
          <w:rFonts w:hint="eastAsia" w:ascii="宋体" w:hAnsi="宋体" w:eastAsia="宋体" w:cs="宋体"/>
          <w:color w:val="auto"/>
          <w:sz w:val="24"/>
          <w:szCs w:val="24"/>
          <w:highlight w:val="none"/>
        </w:rPr>
      </w:pPr>
    </w:p>
    <w:p w14:paraId="400D7F26">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240979B">
      <w:pPr>
        <w:ind w:firstLine="480"/>
        <w:rPr>
          <w:rFonts w:hint="eastAsia" w:ascii="宋体" w:hAnsi="宋体" w:eastAsia="宋体" w:cs="宋体"/>
          <w:color w:val="auto"/>
          <w:sz w:val="24"/>
          <w:szCs w:val="24"/>
          <w:highlight w:val="none"/>
        </w:rPr>
      </w:pPr>
    </w:p>
    <w:p w14:paraId="6374919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324BD83">
      <w:pPr>
        <w:jc w:val="center"/>
        <w:rPr>
          <w:rFonts w:hint="eastAsia" w:ascii="宋体" w:hAnsi="宋体" w:eastAsia="宋体" w:cs="宋体"/>
          <w:b/>
          <w:bCs/>
          <w:color w:val="auto"/>
          <w:sz w:val="32"/>
          <w:szCs w:val="32"/>
          <w:highlight w:val="none"/>
        </w:rPr>
      </w:pPr>
    </w:p>
    <w:p w14:paraId="2BDC4AB5">
      <w:pPr>
        <w:jc w:val="left"/>
        <w:outlineLvl w:val="1"/>
        <w:rPr>
          <w:rFonts w:hint="eastAsia" w:ascii="宋体" w:hAnsi="宋体" w:eastAsia="宋体" w:cs="宋体"/>
          <w:b/>
          <w:color w:val="auto"/>
          <w:sz w:val="32"/>
          <w:szCs w:val="32"/>
          <w:highlight w:val="none"/>
          <w:lang w:eastAsia="zh-CN"/>
        </w:rPr>
      </w:pPr>
      <w:r>
        <w:rPr>
          <w:rFonts w:hint="eastAsia" w:ascii="宋体" w:hAnsi="宋体" w:eastAsia="宋体" w:cs="宋体"/>
          <w:color w:val="auto"/>
          <w:highlight w:val="none"/>
        </w:rPr>
        <w:br w:type="page" w:clear="all"/>
      </w:r>
      <w:bookmarkStart w:id="221" w:name="_Toc10292"/>
      <w:r>
        <w:rPr>
          <w:rFonts w:hint="eastAsia" w:ascii="宋体" w:hAnsi="宋体" w:eastAsia="宋体" w:cs="宋体"/>
          <w:b/>
          <w:color w:val="auto"/>
          <w:sz w:val="32"/>
          <w:szCs w:val="32"/>
          <w:highlight w:val="none"/>
        </w:rPr>
        <w:t>六、</w:t>
      </w:r>
      <w:bookmarkEnd w:id="221"/>
      <w:r>
        <w:rPr>
          <w:rFonts w:hint="eastAsia" w:ascii="宋体" w:hAnsi="宋体" w:eastAsia="宋体" w:cs="宋体"/>
          <w:b/>
          <w:color w:val="auto"/>
          <w:sz w:val="32"/>
          <w:szCs w:val="32"/>
          <w:highlight w:val="none"/>
          <w:lang w:eastAsia="zh-CN"/>
        </w:rPr>
        <w:t>分项报价表</w:t>
      </w:r>
    </w:p>
    <w:tbl>
      <w:tblPr>
        <w:tblStyle w:val="2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842"/>
        <w:gridCol w:w="1701"/>
        <w:gridCol w:w="1843"/>
        <w:gridCol w:w="2410"/>
      </w:tblGrid>
      <w:tr w14:paraId="3649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101" w:type="dxa"/>
            <w:vMerge w:val="restart"/>
            <w:noWrap w:val="0"/>
            <w:vAlign w:val="center"/>
          </w:tcPr>
          <w:p w14:paraId="08EEA9E6">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1842" w:type="dxa"/>
            <w:noWrap w:val="0"/>
            <w:vAlign w:val="center"/>
          </w:tcPr>
          <w:p w14:paraId="7EEBA106">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1701" w:type="dxa"/>
            <w:noWrap w:val="0"/>
            <w:vAlign w:val="center"/>
          </w:tcPr>
          <w:p w14:paraId="0335FDA8">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1843" w:type="dxa"/>
            <w:noWrap w:val="0"/>
            <w:vAlign w:val="center"/>
          </w:tcPr>
          <w:p w14:paraId="6689812F">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410" w:type="dxa"/>
            <w:noWrap w:val="0"/>
            <w:vAlign w:val="center"/>
          </w:tcPr>
          <w:p w14:paraId="72897B11">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r>
      <w:tr w14:paraId="5E3F5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1101" w:type="dxa"/>
            <w:vMerge w:val="continue"/>
            <w:noWrap w:val="0"/>
            <w:vAlign w:val="center"/>
          </w:tcPr>
          <w:p w14:paraId="5BBA0C53">
            <w:pPr>
              <w:spacing w:line="0" w:lineRule="atLeast"/>
              <w:jc w:val="center"/>
              <w:rPr>
                <w:rFonts w:hint="default" w:ascii="宋体" w:hAnsi="宋体" w:eastAsia="宋体" w:cs="Times New Roman"/>
                <w:color w:val="auto"/>
                <w:sz w:val="24"/>
                <w:szCs w:val="24"/>
                <w:highlight w:val="none"/>
              </w:rPr>
            </w:pPr>
          </w:p>
        </w:tc>
        <w:tc>
          <w:tcPr>
            <w:tcW w:w="1842" w:type="dxa"/>
            <w:noWrap w:val="0"/>
            <w:vAlign w:val="center"/>
          </w:tcPr>
          <w:p w14:paraId="2DB9EE8E">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分项服务名称</w:t>
            </w:r>
          </w:p>
        </w:tc>
        <w:tc>
          <w:tcPr>
            <w:tcW w:w="1701" w:type="dxa"/>
            <w:noWrap w:val="0"/>
            <w:vAlign w:val="center"/>
          </w:tcPr>
          <w:p w14:paraId="11DDA601">
            <w:pPr>
              <w:spacing w:line="0" w:lineRule="atLeast"/>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合同履行期限</w:t>
            </w:r>
          </w:p>
        </w:tc>
        <w:tc>
          <w:tcPr>
            <w:tcW w:w="1843" w:type="dxa"/>
            <w:noWrap w:val="0"/>
            <w:vAlign w:val="center"/>
          </w:tcPr>
          <w:p w14:paraId="15AA55C1">
            <w:pP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单价（元/亩）</w:t>
            </w:r>
          </w:p>
        </w:tc>
        <w:tc>
          <w:tcPr>
            <w:tcW w:w="2410" w:type="dxa"/>
            <w:noWrap w:val="0"/>
            <w:vAlign w:val="center"/>
          </w:tcPr>
          <w:p w14:paraId="6D4B8E81">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tc>
      </w:tr>
      <w:tr w14:paraId="21233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101" w:type="dxa"/>
            <w:noWrap w:val="0"/>
            <w:vAlign w:val="center"/>
          </w:tcPr>
          <w:p w14:paraId="461E4307">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1842" w:type="dxa"/>
            <w:noWrap w:val="0"/>
            <w:vAlign w:val="center"/>
          </w:tcPr>
          <w:p w14:paraId="38E82729">
            <w:pPr>
              <w:spacing w:line="0" w:lineRule="atLeast"/>
              <w:jc w:val="center"/>
              <w:rPr>
                <w:rFonts w:hint="default"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土壤污染状况调查</w:t>
            </w:r>
          </w:p>
        </w:tc>
        <w:tc>
          <w:tcPr>
            <w:tcW w:w="1701" w:type="dxa"/>
            <w:noWrap w:val="0"/>
            <w:vAlign w:val="center"/>
          </w:tcPr>
          <w:p w14:paraId="78D6E667">
            <w:pPr>
              <w:spacing w:line="0" w:lineRule="atLeast"/>
              <w:jc w:val="center"/>
              <w:rPr>
                <w:rFonts w:hint="default" w:ascii="宋体" w:hAnsi="宋体" w:eastAsia="宋体" w:cs="Times New Roman"/>
                <w:color w:val="auto"/>
                <w:sz w:val="24"/>
                <w:szCs w:val="24"/>
                <w:highlight w:val="none"/>
              </w:rPr>
            </w:pPr>
          </w:p>
        </w:tc>
        <w:tc>
          <w:tcPr>
            <w:tcW w:w="1843" w:type="dxa"/>
            <w:noWrap w:val="0"/>
            <w:vAlign w:val="center"/>
          </w:tcPr>
          <w:p w14:paraId="4E3F7B40">
            <w:pPr>
              <w:spacing w:line="0" w:lineRule="atLeast"/>
              <w:jc w:val="center"/>
              <w:rPr>
                <w:rFonts w:hint="default" w:ascii="宋体" w:hAnsi="宋体" w:eastAsia="宋体" w:cs="Times New Roman"/>
                <w:color w:val="auto"/>
                <w:sz w:val="24"/>
                <w:szCs w:val="24"/>
                <w:highlight w:val="none"/>
              </w:rPr>
            </w:pPr>
          </w:p>
        </w:tc>
        <w:tc>
          <w:tcPr>
            <w:tcW w:w="2410" w:type="dxa"/>
            <w:vMerge w:val="restart"/>
            <w:noWrap w:val="0"/>
            <w:vAlign w:val="center"/>
          </w:tcPr>
          <w:p w14:paraId="50106C51">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最终数量以实际申报数量为准。最终结算价=中标单价*最终实际申报数量。</w:t>
            </w:r>
          </w:p>
        </w:tc>
      </w:tr>
      <w:tr w14:paraId="7E7B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101" w:type="dxa"/>
            <w:noWrap w:val="0"/>
            <w:vAlign w:val="center"/>
          </w:tcPr>
          <w:p w14:paraId="01232111">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1842" w:type="dxa"/>
            <w:noWrap w:val="0"/>
            <w:vAlign w:val="center"/>
          </w:tcPr>
          <w:p w14:paraId="7AC6E8A9">
            <w:pPr>
              <w:spacing w:line="0" w:lineRule="atLeast"/>
              <w:jc w:val="center"/>
              <w:rPr>
                <w:rFonts w:hint="default"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补充耕地质量评定</w:t>
            </w:r>
          </w:p>
        </w:tc>
        <w:tc>
          <w:tcPr>
            <w:tcW w:w="1701" w:type="dxa"/>
            <w:noWrap w:val="0"/>
            <w:vAlign w:val="center"/>
          </w:tcPr>
          <w:p w14:paraId="1CBF64CB">
            <w:pPr>
              <w:spacing w:line="0" w:lineRule="atLeast"/>
              <w:jc w:val="center"/>
              <w:rPr>
                <w:rFonts w:hint="default" w:ascii="宋体" w:hAnsi="宋体" w:eastAsia="宋体" w:cs="Times New Roman"/>
                <w:color w:val="auto"/>
                <w:sz w:val="24"/>
                <w:szCs w:val="24"/>
                <w:highlight w:val="none"/>
              </w:rPr>
            </w:pPr>
          </w:p>
        </w:tc>
        <w:tc>
          <w:tcPr>
            <w:tcW w:w="1843" w:type="dxa"/>
            <w:noWrap w:val="0"/>
            <w:vAlign w:val="center"/>
          </w:tcPr>
          <w:p w14:paraId="01947449">
            <w:pPr>
              <w:spacing w:line="0" w:lineRule="atLeast"/>
              <w:jc w:val="center"/>
              <w:rPr>
                <w:rFonts w:hint="default" w:ascii="宋体" w:hAnsi="宋体" w:eastAsia="宋体" w:cs="Times New Roman"/>
                <w:color w:val="auto"/>
                <w:sz w:val="24"/>
                <w:szCs w:val="24"/>
                <w:highlight w:val="none"/>
              </w:rPr>
            </w:pPr>
          </w:p>
        </w:tc>
        <w:tc>
          <w:tcPr>
            <w:tcW w:w="2410" w:type="dxa"/>
            <w:vMerge w:val="continue"/>
            <w:noWrap w:val="0"/>
            <w:vAlign w:val="center"/>
          </w:tcPr>
          <w:p w14:paraId="0E3710FD">
            <w:pPr>
              <w:spacing w:line="0" w:lineRule="atLeast"/>
              <w:jc w:val="center"/>
              <w:rPr>
                <w:rFonts w:hint="default" w:ascii="宋体" w:hAnsi="宋体" w:eastAsia="宋体" w:cs="Times New Roman"/>
                <w:color w:val="auto"/>
                <w:sz w:val="24"/>
                <w:szCs w:val="24"/>
                <w:highlight w:val="none"/>
              </w:rPr>
            </w:pPr>
          </w:p>
        </w:tc>
      </w:tr>
      <w:tr w14:paraId="25102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101" w:type="dxa"/>
            <w:noWrap w:val="0"/>
            <w:vAlign w:val="center"/>
          </w:tcPr>
          <w:p w14:paraId="11B88541">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1842" w:type="dxa"/>
            <w:noWrap w:val="0"/>
            <w:vAlign w:val="center"/>
          </w:tcPr>
          <w:p w14:paraId="636DBF2D">
            <w:pPr>
              <w:spacing w:line="0" w:lineRule="atLeast"/>
              <w:jc w:val="center"/>
              <w:rPr>
                <w:rFonts w:hint="default" w:ascii="宋体" w:hAnsi="宋体" w:eastAsia="宋体" w:cs="Times New Roman"/>
                <w:color w:val="auto"/>
                <w:sz w:val="24"/>
                <w:szCs w:val="24"/>
                <w:highlight w:val="none"/>
              </w:rPr>
            </w:pPr>
          </w:p>
        </w:tc>
        <w:tc>
          <w:tcPr>
            <w:tcW w:w="1701" w:type="dxa"/>
            <w:noWrap w:val="0"/>
            <w:vAlign w:val="center"/>
          </w:tcPr>
          <w:p w14:paraId="1DB0FC8E">
            <w:pPr>
              <w:spacing w:line="0" w:lineRule="atLeast"/>
              <w:jc w:val="center"/>
              <w:rPr>
                <w:rFonts w:hint="default" w:ascii="宋体" w:hAnsi="宋体" w:eastAsia="宋体" w:cs="Times New Roman"/>
                <w:color w:val="auto"/>
                <w:sz w:val="24"/>
                <w:szCs w:val="24"/>
                <w:highlight w:val="none"/>
              </w:rPr>
            </w:pPr>
          </w:p>
        </w:tc>
        <w:tc>
          <w:tcPr>
            <w:tcW w:w="1843" w:type="dxa"/>
            <w:noWrap w:val="0"/>
            <w:vAlign w:val="center"/>
          </w:tcPr>
          <w:p w14:paraId="774D840D">
            <w:pPr>
              <w:spacing w:line="0" w:lineRule="atLeast"/>
              <w:jc w:val="center"/>
              <w:rPr>
                <w:rFonts w:hint="default" w:ascii="宋体" w:hAnsi="宋体" w:eastAsia="宋体" w:cs="Times New Roman"/>
                <w:color w:val="auto"/>
                <w:sz w:val="24"/>
                <w:szCs w:val="24"/>
                <w:highlight w:val="none"/>
              </w:rPr>
            </w:pPr>
          </w:p>
        </w:tc>
        <w:tc>
          <w:tcPr>
            <w:tcW w:w="2410" w:type="dxa"/>
            <w:vMerge w:val="continue"/>
            <w:noWrap w:val="0"/>
            <w:vAlign w:val="center"/>
          </w:tcPr>
          <w:p w14:paraId="2CEA470F">
            <w:pPr>
              <w:spacing w:line="0" w:lineRule="atLeast"/>
              <w:jc w:val="center"/>
              <w:rPr>
                <w:rFonts w:hint="default" w:ascii="宋体" w:hAnsi="宋体" w:eastAsia="宋体" w:cs="Times New Roman"/>
                <w:color w:val="auto"/>
                <w:sz w:val="24"/>
                <w:szCs w:val="24"/>
                <w:highlight w:val="none"/>
              </w:rPr>
            </w:pPr>
          </w:p>
        </w:tc>
      </w:tr>
      <w:tr w14:paraId="54C2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101" w:type="dxa"/>
            <w:noWrap w:val="0"/>
            <w:vAlign w:val="center"/>
          </w:tcPr>
          <w:p w14:paraId="792CD6CF">
            <w:pPr>
              <w:spacing w:line="0" w:lineRule="atLeast"/>
              <w:jc w:val="cente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w:t>
            </w:r>
          </w:p>
        </w:tc>
        <w:tc>
          <w:tcPr>
            <w:tcW w:w="1842" w:type="dxa"/>
            <w:noWrap w:val="0"/>
            <w:vAlign w:val="center"/>
          </w:tcPr>
          <w:p w14:paraId="5F4C8841">
            <w:pPr>
              <w:spacing w:line="0" w:lineRule="atLeast"/>
              <w:jc w:val="cente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w:t>
            </w:r>
          </w:p>
        </w:tc>
        <w:tc>
          <w:tcPr>
            <w:tcW w:w="1701" w:type="dxa"/>
            <w:noWrap w:val="0"/>
            <w:vAlign w:val="center"/>
          </w:tcPr>
          <w:p w14:paraId="5EBE993A">
            <w:pPr>
              <w:spacing w:line="0" w:lineRule="atLeast"/>
              <w:jc w:val="center"/>
              <w:rPr>
                <w:rFonts w:hint="default" w:ascii="宋体" w:hAnsi="宋体" w:eastAsia="宋体" w:cs="Times New Roman"/>
                <w:color w:val="auto"/>
                <w:sz w:val="24"/>
                <w:szCs w:val="24"/>
                <w:highlight w:val="none"/>
              </w:rPr>
            </w:pPr>
          </w:p>
        </w:tc>
        <w:tc>
          <w:tcPr>
            <w:tcW w:w="1843" w:type="dxa"/>
            <w:noWrap w:val="0"/>
            <w:vAlign w:val="center"/>
          </w:tcPr>
          <w:p w14:paraId="43BC81C6">
            <w:pPr>
              <w:spacing w:line="0" w:lineRule="atLeast"/>
              <w:jc w:val="center"/>
              <w:rPr>
                <w:rFonts w:hint="default" w:ascii="宋体" w:hAnsi="宋体" w:eastAsia="宋体" w:cs="Times New Roman"/>
                <w:color w:val="auto"/>
                <w:sz w:val="24"/>
                <w:szCs w:val="24"/>
                <w:highlight w:val="none"/>
              </w:rPr>
            </w:pPr>
          </w:p>
        </w:tc>
        <w:tc>
          <w:tcPr>
            <w:tcW w:w="2410" w:type="dxa"/>
            <w:vMerge w:val="continue"/>
            <w:noWrap w:val="0"/>
            <w:vAlign w:val="center"/>
          </w:tcPr>
          <w:p w14:paraId="4BD77F9A">
            <w:pPr>
              <w:spacing w:line="0" w:lineRule="atLeast"/>
              <w:jc w:val="center"/>
              <w:rPr>
                <w:rFonts w:hint="default" w:ascii="宋体" w:hAnsi="宋体" w:eastAsia="宋体" w:cs="Times New Roman"/>
                <w:color w:val="auto"/>
                <w:sz w:val="24"/>
                <w:szCs w:val="24"/>
                <w:highlight w:val="none"/>
              </w:rPr>
            </w:pPr>
          </w:p>
        </w:tc>
      </w:tr>
      <w:tr w14:paraId="22485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8897" w:type="dxa"/>
            <w:gridSpan w:val="5"/>
            <w:noWrap w:val="0"/>
            <w:vAlign w:val="center"/>
          </w:tcPr>
          <w:p w14:paraId="651ED36C">
            <w:pPr>
              <w:spacing w:line="0" w:lineRule="atLeast"/>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投标报价</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（人民币：</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元/亩）</w:t>
            </w:r>
          </w:p>
        </w:tc>
      </w:tr>
    </w:tbl>
    <w:p w14:paraId="5097A255">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备注：1.“投标报价”应包括本项目服务过程中所发生的一切费用，包括：服务本身、人工费、服务费、设备费、税金以及交付使用过程中涉及到的其他一切费用。</w:t>
      </w:r>
    </w:p>
    <w:p w14:paraId="6C94C744">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 “投标分项报价表”中“投标报价”数额应当与“开标一览表”中“投标报价”数额一致。</w:t>
      </w:r>
    </w:p>
    <w:p w14:paraId="49C00A04">
      <w:pPr>
        <w:spacing w:line="600" w:lineRule="exact"/>
        <w:jc w:val="center"/>
        <w:rPr>
          <w:rFonts w:hint="eastAsia" w:ascii="方正小标宋_GBK" w:hAnsi="Times New Roman" w:eastAsia="方正小标宋_GBK" w:cs="Times New Roman"/>
          <w:bCs/>
          <w:color w:val="auto"/>
          <w:sz w:val="32"/>
          <w:szCs w:val="32"/>
          <w:highlight w:val="none"/>
        </w:rPr>
      </w:pPr>
    </w:p>
    <w:p w14:paraId="772CB4A5">
      <w:pPr>
        <w:keepNext w:val="0"/>
        <w:keepLines w:val="0"/>
        <w:pageBreakBefore w:val="0"/>
        <w:widowControl/>
        <w:spacing w:line="360" w:lineRule="exact"/>
        <w:ind w:firstLine="420"/>
        <w:jc w:val="left"/>
        <w:rPr>
          <w:rFonts w:hint="eastAsia" w:ascii="宋体" w:hAnsi="宋体" w:eastAsia="宋体" w:cs="宋体"/>
          <w:b/>
          <w:color w:val="auto"/>
          <w:sz w:val="32"/>
          <w:szCs w:val="32"/>
          <w:highlight w:val="none"/>
          <w:lang w:val="en-US" w:eastAsia="zh-CN" w:bidi="ar-SA"/>
        </w:rPr>
      </w:pPr>
    </w:p>
    <w:p w14:paraId="44FDF6DC">
      <w:pPr>
        <w:keepNext w:val="0"/>
        <w:keepLines/>
        <w:widowControl w:val="0"/>
        <w:spacing w:before="120" w:after="120"/>
        <w:jc w:val="left"/>
        <w:outlineLvl w:val="1"/>
        <w:rPr>
          <w:rFonts w:hint="eastAsia" w:ascii="Times New Roman" w:hAnsi="Times New Roman" w:eastAsia="宋体" w:cs="Arial"/>
          <w:bCs/>
          <w:color w:val="auto"/>
          <w:sz w:val="34"/>
          <w:szCs w:val="32"/>
          <w:highlight w:val="none"/>
          <w:lang w:val="en-US" w:eastAsia="zh-CN" w:bidi="ar-SA"/>
        </w:rPr>
      </w:pPr>
      <w:r>
        <w:rPr>
          <w:rFonts w:hint="eastAsia" w:ascii="宋体" w:hAnsi="宋体" w:eastAsia="Arial" w:cs="Arial"/>
          <w:color w:val="auto"/>
          <w:sz w:val="24"/>
          <w:szCs w:val="21"/>
          <w:highlight w:val="none"/>
          <w:lang w:val="en-US" w:eastAsia="zh-CN" w:bidi="ar-SA"/>
        </w:rPr>
        <w:t>单位名称：</w:t>
      </w:r>
      <w:r>
        <w:rPr>
          <w:rFonts w:hint="eastAsia" w:ascii="宋体" w:hAnsi="宋体" w:eastAsia="Arial" w:cs="Arial"/>
          <w:color w:val="auto"/>
          <w:sz w:val="24"/>
          <w:szCs w:val="21"/>
          <w:highlight w:val="none"/>
          <w:u w:val="single"/>
          <w:lang w:val="en-US" w:eastAsia="zh-CN" w:bidi="ar-SA"/>
        </w:rPr>
        <w:t xml:space="preserve">             </w:t>
      </w:r>
      <w:r>
        <w:rPr>
          <w:rFonts w:hint="eastAsia" w:ascii="宋体" w:hAnsi="宋体" w:eastAsia="Arial" w:cs="Arial"/>
          <w:color w:val="auto"/>
          <w:sz w:val="24"/>
          <w:szCs w:val="21"/>
          <w:highlight w:val="none"/>
          <w:lang w:val="en-US" w:eastAsia="zh-CN" w:bidi="ar-SA"/>
        </w:rPr>
        <w:t>（</w:t>
      </w:r>
      <w:r>
        <w:rPr>
          <w:rFonts w:hint="eastAsia" w:ascii="Arial" w:hAnsi="Arial" w:eastAsia="Arial" w:cs="Arial"/>
          <w:color w:val="auto"/>
          <w:sz w:val="24"/>
          <w:szCs w:val="24"/>
          <w:highlight w:val="none"/>
          <w:lang w:val="en-US" w:eastAsia="zh-CN" w:bidi="ar-SA"/>
        </w:rPr>
        <w:t>加盖</w:t>
      </w:r>
      <w:r>
        <w:rPr>
          <w:rFonts w:hint="default" w:ascii="Arial" w:hAnsi="Arial" w:eastAsia="Arial" w:cs="Arial"/>
          <w:color w:val="auto"/>
          <w:sz w:val="24"/>
          <w:szCs w:val="24"/>
          <w:highlight w:val="none"/>
          <w:lang w:val="en-US" w:eastAsia="zh-CN" w:bidi="ar-SA"/>
        </w:rPr>
        <w:t>CA</w:t>
      </w:r>
      <w:r>
        <w:rPr>
          <w:rFonts w:hint="eastAsia" w:ascii="Arial" w:hAnsi="Arial" w:eastAsia="Arial" w:cs="Arial"/>
          <w:color w:val="auto"/>
          <w:sz w:val="24"/>
          <w:szCs w:val="24"/>
          <w:highlight w:val="none"/>
          <w:lang w:val="en-US" w:eastAsia="zh-CN" w:bidi="ar-SA"/>
        </w:rPr>
        <w:t>电子签章</w:t>
      </w:r>
      <w:r>
        <w:rPr>
          <w:rFonts w:hint="eastAsia" w:ascii="宋体" w:hAnsi="宋体" w:eastAsia="Arial" w:cs="Arial"/>
          <w:color w:val="auto"/>
          <w:sz w:val="24"/>
          <w:szCs w:val="21"/>
          <w:highlight w:val="none"/>
          <w:lang w:val="en-US" w:eastAsia="zh-CN" w:bidi="ar-SA"/>
        </w:rPr>
        <w:t>）</w:t>
      </w:r>
      <w:r>
        <w:rPr>
          <w:rFonts w:hint="eastAsia" w:ascii="宋体" w:hAnsi="宋体" w:eastAsia="Arial" w:cs="宋体"/>
          <w:strike/>
          <w:color w:val="auto"/>
          <w:sz w:val="32"/>
          <w:szCs w:val="32"/>
          <w:highlight w:val="none"/>
          <w:lang w:val="en-US" w:eastAsia="zh-CN" w:bidi="ar-SA"/>
        </w:rPr>
        <w:br w:type="page" w:clear="all"/>
      </w:r>
      <w:bookmarkStart w:id="222" w:name="_Toc16428"/>
      <w:r>
        <w:rPr>
          <w:rFonts w:hint="eastAsia" w:ascii="宋体" w:hAnsi="宋体" w:eastAsia="Arial" w:cs="宋体"/>
          <w:b/>
          <w:color w:val="auto"/>
          <w:sz w:val="32"/>
          <w:szCs w:val="32"/>
          <w:highlight w:val="none"/>
          <w:lang w:val="en-US" w:eastAsia="zh-CN" w:bidi="ar-SA"/>
        </w:rPr>
        <w:t>七、</w:t>
      </w:r>
      <w:bookmarkEnd w:id="222"/>
      <w:r>
        <w:rPr>
          <w:rFonts w:hint="eastAsia" w:ascii="宋体" w:hAnsi="宋体" w:eastAsia="宋体" w:cs="Arial"/>
          <w:color w:val="auto"/>
          <w:sz w:val="36"/>
          <w:szCs w:val="36"/>
          <w:highlight w:val="none"/>
          <w:lang w:val="en-US" w:eastAsia="zh-CN" w:bidi="ar-SA"/>
        </w:rPr>
        <w:t>中小（微）企业声明函（服务）</w:t>
      </w:r>
    </w:p>
    <w:p w14:paraId="3DCB06C5">
      <w:pPr>
        <w:spacing w:line="560" w:lineRule="exact"/>
        <w:ind w:firstLine="36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本公司（联合体）郑重声明，根据《政府采购促进中小企业发展管理办法》(财库[2020]46号)的规定，本公司（联合体）参加江苏省政府采购代理机构组织的</w:t>
      </w:r>
      <w:r>
        <w:rPr>
          <w:rFonts w:hint="eastAsia" w:ascii="Times New Roman" w:hAnsi="Times New Roman" w:eastAsia="宋体" w:cs="Times New Roman"/>
          <w:color w:val="auto"/>
          <w:sz w:val="24"/>
          <w:szCs w:val="24"/>
          <w:highlight w:val="none"/>
          <w:u w:val="single"/>
        </w:rPr>
        <w:t>（单位名称）</w:t>
      </w:r>
      <w:r>
        <w:rPr>
          <w:rFonts w:hint="eastAsia" w:ascii="Times New Roman" w:hAnsi="Times New Roman" w:eastAsia="宋体" w:cs="Times New Roman"/>
          <w:color w:val="auto"/>
          <w:sz w:val="24"/>
          <w:szCs w:val="24"/>
          <w:highlight w:val="none"/>
        </w:rPr>
        <w:t>采购编号为</w:t>
      </w:r>
      <w:r>
        <w:rPr>
          <w:rFonts w:hint="eastAsia" w:ascii="Times New Roman" w:hAnsi="Times New Roman" w:eastAsia="宋体" w:cs="Times New Roman"/>
          <w:color w:val="auto"/>
          <w:sz w:val="24"/>
          <w:szCs w:val="24"/>
          <w:highlight w:val="none"/>
          <w:u w:val="single"/>
        </w:rPr>
        <w:t>***</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u w:val="single"/>
        </w:rPr>
        <w:t>（项目名称）</w:t>
      </w:r>
      <w:r>
        <w:rPr>
          <w:rFonts w:hint="eastAsia" w:ascii="Times New Roman" w:hAnsi="Times New Roman" w:eastAsia="宋体" w:cs="Times New Roman"/>
          <w:color w:val="auto"/>
          <w:sz w:val="24"/>
          <w:szCs w:val="24"/>
          <w:highlight w:val="none"/>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1093513">
      <w:pPr>
        <w:spacing w:line="360" w:lineRule="auto"/>
        <w:ind w:firstLine="360"/>
        <w:rPr>
          <w:rFonts w:hint="eastAsia" w:ascii="Times New Roman" w:hAnsi="Times New Roman" w:eastAsia="宋体" w:cs="Times New Roman"/>
          <w:i/>
          <w:color w:val="auto"/>
          <w:sz w:val="24"/>
          <w:szCs w:val="24"/>
          <w:highlight w:val="none"/>
          <w:u w:val="single"/>
        </w:rPr>
      </w:pPr>
      <w:r>
        <w:rPr>
          <w:rFonts w:hint="eastAsia" w:ascii="Times New Roman" w:hAnsi="Times New Roman" w:eastAsia="宋体" w:cs="Times New Roman"/>
          <w:color w:val="auto"/>
          <w:sz w:val="24"/>
          <w:szCs w:val="24"/>
          <w:highlight w:val="none"/>
        </w:rPr>
        <w:t>1.</w:t>
      </w:r>
      <w:r>
        <w:rPr>
          <w:rFonts w:hint="eastAsia" w:ascii="Times New Roman" w:hAnsi="Times New Roman" w:eastAsia="宋体" w:cs="Times New Roman"/>
          <w:color w:val="auto"/>
          <w:sz w:val="24"/>
          <w:szCs w:val="24"/>
          <w:highlight w:val="none"/>
          <w:u w:val="single"/>
        </w:rPr>
        <w:t>（标的名称）</w:t>
      </w:r>
      <w:r>
        <w:rPr>
          <w:rFonts w:hint="eastAsia" w:ascii="Times New Roman" w:hAnsi="Times New Roman" w:eastAsia="宋体" w:cs="Times New Roman"/>
          <w:i/>
          <w:color w:val="auto"/>
          <w:sz w:val="24"/>
          <w:szCs w:val="24"/>
          <w:highlight w:val="none"/>
        </w:rPr>
        <w:t>，</w:t>
      </w:r>
      <w:r>
        <w:rPr>
          <w:rFonts w:hint="eastAsia" w:ascii="Times New Roman" w:hAnsi="Times New Roman" w:eastAsia="宋体" w:cs="Times New Roman"/>
          <w:color w:val="auto"/>
          <w:sz w:val="24"/>
          <w:szCs w:val="24"/>
          <w:highlight w:val="none"/>
        </w:rPr>
        <w:t>属于</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行业；承接企业为</w:t>
      </w:r>
      <w:r>
        <w:rPr>
          <w:rFonts w:hint="eastAsia" w:ascii="Times New Roman" w:hAnsi="Times New Roman" w:eastAsia="宋体" w:cs="Times New Roman"/>
          <w:color w:val="auto"/>
          <w:sz w:val="24"/>
          <w:szCs w:val="24"/>
          <w:highlight w:val="none"/>
          <w:u w:val="single"/>
        </w:rPr>
        <w:t>（企业名称）</w:t>
      </w:r>
      <w:r>
        <w:rPr>
          <w:rFonts w:hint="eastAsia" w:ascii="Times New Roman" w:hAnsi="Times New Roman" w:eastAsia="宋体" w:cs="Times New Roman"/>
          <w:color w:val="auto"/>
          <w:sz w:val="24"/>
          <w:szCs w:val="24"/>
          <w:highlight w:val="none"/>
        </w:rPr>
        <w:t>，从业人员</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人，营业收入为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万元，资产总额为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万元</w:t>
      </w:r>
      <w:r>
        <w:rPr>
          <w:rFonts w:hint="eastAsia" w:ascii="Times New Roman" w:hAnsi="Times New Roman" w:eastAsia="宋体" w:cs="Times New Roman"/>
          <w:color w:val="auto"/>
          <w:sz w:val="24"/>
          <w:szCs w:val="24"/>
          <w:highlight w:val="none"/>
          <w:vertAlign w:val="superscript"/>
        </w:rPr>
        <w:t>1</w:t>
      </w:r>
      <w:r>
        <w:rPr>
          <w:rFonts w:hint="eastAsia" w:ascii="Times New Roman" w:hAnsi="Times New Roman" w:eastAsia="宋体" w:cs="Times New Roman"/>
          <w:color w:val="auto"/>
          <w:sz w:val="24"/>
          <w:szCs w:val="24"/>
          <w:highlight w:val="none"/>
        </w:rPr>
        <w:t>，属于</w:t>
      </w:r>
      <w:r>
        <w:rPr>
          <w:rFonts w:hint="eastAsia" w:ascii="Times New Roman" w:hAnsi="Times New Roman" w:eastAsia="宋体" w:cs="Times New Roman"/>
          <w:color w:val="auto"/>
          <w:sz w:val="24"/>
          <w:szCs w:val="24"/>
          <w:highlight w:val="none"/>
          <w:u w:val="single"/>
        </w:rPr>
        <w:t>（中型企业、小型企业、微型企业）；</w:t>
      </w:r>
    </w:p>
    <w:p w14:paraId="21BF3E44">
      <w:pPr>
        <w:spacing w:line="360" w:lineRule="auto"/>
        <w:ind w:firstLine="360"/>
        <w:rPr>
          <w:rFonts w:hint="eastAsia" w:ascii="Times New Roman" w:hAnsi="Times New Roman" w:eastAsia="宋体" w:cs="Times New Roman"/>
          <w:i/>
          <w:color w:val="auto"/>
          <w:sz w:val="24"/>
          <w:szCs w:val="24"/>
          <w:highlight w:val="none"/>
          <w:u w:val="single"/>
        </w:rPr>
      </w:pPr>
      <w:r>
        <w:rPr>
          <w:rFonts w:hint="eastAsia" w:ascii="Times New Roman" w:hAnsi="Times New Roman" w:eastAsia="宋体" w:cs="Times New Roman"/>
          <w:color w:val="auto"/>
          <w:sz w:val="24"/>
          <w:szCs w:val="24"/>
          <w:highlight w:val="none"/>
        </w:rPr>
        <w:t>2.</w:t>
      </w:r>
      <w:r>
        <w:rPr>
          <w:rFonts w:hint="eastAsia" w:ascii="Times New Roman" w:hAnsi="Times New Roman" w:eastAsia="宋体" w:cs="Times New Roman"/>
          <w:color w:val="auto"/>
          <w:sz w:val="24"/>
          <w:szCs w:val="24"/>
          <w:highlight w:val="none"/>
          <w:u w:val="single"/>
        </w:rPr>
        <w:t>（标的名称）</w:t>
      </w:r>
      <w:r>
        <w:rPr>
          <w:rFonts w:hint="eastAsia" w:ascii="Times New Roman" w:hAnsi="Times New Roman" w:eastAsia="宋体" w:cs="Times New Roman"/>
          <w:i/>
          <w:color w:val="auto"/>
          <w:sz w:val="24"/>
          <w:szCs w:val="24"/>
          <w:highlight w:val="none"/>
        </w:rPr>
        <w:t>，</w:t>
      </w:r>
      <w:r>
        <w:rPr>
          <w:rFonts w:hint="eastAsia" w:ascii="Times New Roman" w:hAnsi="Times New Roman" w:eastAsia="宋体" w:cs="Times New Roman"/>
          <w:color w:val="auto"/>
          <w:sz w:val="24"/>
          <w:szCs w:val="24"/>
          <w:highlight w:val="none"/>
        </w:rPr>
        <w:t>属于</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行业；承接企业为</w:t>
      </w:r>
      <w:r>
        <w:rPr>
          <w:rFonts w:hint="eastAsia" w:ascii="Times New Roman" w:hAnsi="Times New Roman" w:eastAsia="宋体" w:cs="Times New Roman"/>
          <w:color w:val="auto"/>
          <w:sz w:val="24"/>
          <w:szCs w:val="24"/>
          <w:highlight w:val="none"/>
          <w:u w:val="single"/>
        </w:rPr>
        <w:t>（企业名称）</w:t>
      </w:r>
      <w:r>
        <w:rPr>
          <w:rFonts w:hint="eastAsia" w:ascii="Times New Roman" w:hAnsi="Times New Roman" w:eastAsia="宋体" w:cs="Times New Roman"/>
          <w:color w:val="auto"/>
          <w:sz w:val="24"/>
          <w:szCs w:val="24"/>
          <w:highlight w:val="none"/>
        </w:rPr>
        <w:t>，从业人员</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人，营业收入为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万元，资产总额为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万元</w:t>
      </w:r>
      <w:r>
        <w:rPr>
          <w:rFonts w:hint="eastAsia" w:ascii="Times New Roman" w:hAnsi="Times New Roman" w:eastAsia="宋体" w:cs="Times New Roman"/>
          <w:color w:val="auto"/>
          <w:sz w:val="24"/>
          <w:szCs w:val="24"/>
          <w:highlight w:val="none"/>
          <w:vertAlign w:val="superscript"/>
        </w:rPr>
        <w:t>1</w:t>
      </w:r>
      <w:r>
        <w:rPr>
          <w:rFonts w:hint="eastAsia" w:ascii="Times New Roman" w:hAnsi="Times New Roman" w:eastAsia="宋体" w:cs="Times New Roman"/>
          <w:color w:val="auto"/>
          <w:sz w:val="24"/>
          <w:szCs w:val="24"/>
          <w:highlight w:val="none"/>
        </w:rPr>
        <w:t>，属于</w:t>
      </w:r>
      <w:r>
        <w:rPr>
          <w:rFonts w:hint="eastAsia" w:ascii="Times New Roman" w:hAnsi="Times New Roman" w:eastAsia="宋体" w:cs="Times New Roman"/>
          <w:color w:val="auto"/>
          <w:sz w:val="24"/>
          <w:szCs w:val="24"/>
          <w:highlight w:val="none"/>
          <w:u w:val="single"/>
        </w:rPr>
        <w:t>（中型企业、小型企业、微型企业）；</w:t>
      </w:r>
    </w:p>
    <w:p w14:paraId="506A7479">
      <w:pPr>
        <w:spacing w:line="360" w:lineRule="auto"/>
        <w:ind w:firstLine="36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w:t>
      </w:r>
    </w:p>
    <w:p w14:paraId="29094F33">
      <w:pPr>
        <w:spacing w:line="500" w:lineRule="exact"/>
        <w:ind w:firstLine="360"/>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以上企业，不属于大企业的分支机构，不存在控股股东为大企业的情形，也不存在与大企业的负责人为同一人的情形。</w:t>
      </w:r>
    </w:p>
    <w:p w14:paraId="2C3D181B">
      <w:pPr>
        <w:spacing w:line="5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F46E517">
      <w:pPr>
        <w:spacing w:line="360" w:lineRule="auto"/>
        <w:ind w:firstLine="360"/>
        <w:rPr>
          <w:rFonts w:hint="eastAsia" w:ascii="宋体" w:hAnsi="宋体" w:eastAsia="宋体" w:cs="宋体"/>
          <w:color w:val="auto"/>
          <w:sz w:val="24"/>
          <w:szCs w:val="24"/>
          <w:highlight w:val="none"/>
        </w:rPr>
      </w:pPr>
    </w:p>
    <w:p w14:paraId="36028DBE">
      <w:pPr>
        <w:spacing w:line="240" w:lineRule="auto"/>
        <w:ind w:firstLine="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1AF4FDAF">
      <w:pPr>
        <w:spacing w:line="240" w:lineRule="auto"/>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6E7FF2CF">
      <w:pPr>
        <w:spacing w:line="24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年___月___日</w:t>
      </w:r>
    </w:p>
    <w:p w14:paraId="0CF52AC5">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残疾人福利性单位声明函</w:t>
      </w:r>
    </w:p>
    <w:p w14:paraId="2E1A016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项目采购活动由本单位提供服务。</w:t>
      </w:r>
    </w:p>
    <w:p w14:paraId="06D11F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4F80A932">
      <w:pPr>
        <w:spacing w:line="360" w:lineRule="auto"/>
        <w:ind w:firstLine="480"/>
        <w:rPr>
          <w:rFonts w:hint="eastAsia" w:ascii="宋体" w:hAnsi="宋体" w:eastAsia="宋体" w:cs="宋体"/>
          <w:color w:val="auto"/>
          <w:sz w:val="24"/>
          <w:highlight w:val="none"/>
        </w:rPr>
      </w:pPr>
    </w:p>
    <w:p w14:paraId="2AC334F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（备注：1、投标人如不提供此声明函，价格将不做相应扣除。2、中标人为残疾人福利单位的，此声明函将随中标结果同时公告，接受社会监督。）</w:t>
      </w:r>
    </w:p>
    <w:p w14:paraId="1E8B2211">
      <w:pPr>
        <w:spacing w:line="360" w:lineRule="auto"/>
        <w:ind w:firstLine="624"/>
        <w:rPr>
          <w:rFonts w:hint="eastAsia" w:ascii="宋体" w:hAnsi="宋体" w:eastAsia="宋体" w:cs="宋体"/>
          <w:color w:val="auto"/>
          <w:spacing w:val="6"/>
          <w:sz w:val="30"/>
          <w:szCs w:val="30"/>
          <w:highlight w:val="none"/>
        </w:rPr>
      </w:pPr>
    </w:p>
    <w:p w14:paraId="51134C1E">
      <w:pPr>
        <w:widowControl w:val="0"/>
        <w:spacing w:line="360" w:lineRule="auto"/>
        <w:ind w:left="120"/>
        <w:jc w:val="both"/>
        <w:rPr>
          <w:rFonts w:hint="eastAsia" w:ascii="宋体" w:hAnsi="宋体" w:eastAsia="宋体" w:cs="宋体"/>
          <w:color w:val="auto"/>
          <w:sz w:val="21"/>
          <w:szCs w:val="21"/>
          <w:highlight w:val="none"/>
          <w:lang w:val="zh-CN" w:eastAsia="zh-CN" w:bidi="zh-CN"/>
        </w:rPr>
      </w:pPr>
    </w:p>
    <w:p w14:paraId="121B6690">
      <w:pPr>
        <w:spacing w:line="360" w:lineRule="auto"/>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1B97F16A">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年___月___日</w:t>
      </w:r>
    </w:p>
    <w:p w14:paraId="64211F8A">
      <w:pPr>
        <w:spacing w:line="560" w:lineRule="exact"/>
        <w:rPr>
          <w:rFonts w:hint="default" w:ascii="Calibri" w:hAnsi="Calibri" w:eastAsia="黑体" w:cs="Times New Roman"/>
          <w:b/>
          <w:color w:val="auto"/>
          <w:sz w:val="36"/>
          <w:szCs w:val="22"/>
          <w:highlight w:val="none"/>
        </w:rPr>
      </w:pPr>
      <w:r>
        <w:rPr>
          <w:rFonts w:hint="eastAsia" w:ascii="宋体" w:hAnsi="宋体" w:eastAsia="宋体" w:cs="宋体"/>
          <w:b/>
          <w:color w:val="auto"/>
          <w:sz w:val="32"/>
          <w:szCs w:val="32"/>
          <w:highlight w:val="none"/>
        </w:rPr>
        <w:br w:type="page" w:clear="all"/>
      </w:r>
      <w:bookmarkStart w:id="223" w:name="_Toc31972"/>
      <w:r>
        <w:rPr>
          <w:rFonts w:hint="eastAsia" w:ascii="宋体" w:hAnsi="宋体" w:eastAsia="宋体" w:cs="宋体"/>
          <w:b/>
          <w:bCs/>
          <w:color w:val="auto"/>
          <w:sz w:val="32"/>
          <w:szCs w:val="32"/>
          <w:highlight w:val="none"/>
        </w:rPr>
        <w:t>八、</w:t>
      </w:r>
      <w:bookmarkEnd w:id="223"/>
      <w:r>
        <w:rPr>
          <w:rFonts w:hint="eastAsia" w:ascii="Calibri" w:hAnsi="Calibri" w:eastAsia="黑体" w:cs="Times New Roman"/>
          <w:b/>
          <w:color w:val="auto"/>
          <w:sz w:val="32"/>
          <w:szCs w:val="32"/>
          <w:highlight w:val="none"/>
        </w:rPr>
        <w:t>技术响应偏离表</w:t>
      </w:r>
    </w:p>
    <w:p w14:paraId="6E399782">
      <w:pPr>
        <w:widowControl w:val="0"/>
        <w:jc w:val="center"/>
        <w:rPr>
          <w:rFonts w:hint="default" w:ascii="Calibri" w:hAnsi="Calibri" w:eastAsia="宋体" w:cs="Times New Roman"/>
          <w:color w:val="auto"/>
          <w:sz w:val="32"/>
          <w:szCs w:val="32"/>
          <w:highlight w:val="none"/>
          <w:lang w:val="en-US" w:eastAsia="zh-CN" w:bidi="ar-SA"/>
        </w:rPr>
      </w:pPr>
      <w:r>
        <w:rPr>
          <w:rFonts w:hint="eastAsia" w:ascii="Calibri" w:hAnsi="Calibri" w:eastAsia="宋体" w:cs="Times New Roman"/>
          <w:color w:val="auto"/>
          <w:sz w:val="32"/>
          <w:szCs w:val="32"/>
          <w:highlight w:val="none"/>
          <w:lang w:val="en-US" w:eastAsia="zh-CN" w:bidi="ar-SA"/>
        </w:rPr>
        <w:t>响应偏离表</w:t>
      </w:r>
    </w:p>
    <w:p w14:paraId="090B2F9C">
      <w:pPr>
        <w:widowControl w:val="0"/>
        <w:jc w:val="center"/>
        <w:rPr>
          <w:rFonts w:hint="eastAsia" w:ascii="宋体" w:hAnsi="宋体" w:eastAsia="宋体" w:cs="Times New Roman"/>
          <w:b/>
          <w:bCs/>
          <w:color w:val="auto"/>
          <w:sz w:val="24"/>
          <w:szCs w:val="28"/>
          <w:highlight w:val="none"/>
          <w:lang w:val="en-US" w:eastAsia="zh-CN" w:bidi="ar-SA"/>
        </w:rPr>
      </w:pP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5"/>
        <w:gridCol w:w="2608"/>
        <w:gridCol w:w="2608"/>
      </w:tblGrid>
      <w:tr w14:paraId="55DFE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751A730B">
            <w:pPr>
              <w:widowControl/>
              <w:spacing w:before="100" w:beforeAutospacing="1" w:line="560" w:lineRule="exact"/>
              <w:jc w:val="center"/>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招标文件内容</w:t>
            </w:r>
          </w:p>
        </w:tc>
        <w:tc>
          <w:tcPr>
            <w:tcW w:w="2608" w:type="dxa"/>
            <w:noWrap w:val="0"/>
            <w:vAlign w:val="center"/>
          </w:tcPr>
          <w:p w14:paraId="2D78BFDF">
            <w:pPr>
              <w:widowControl/>
              <w:spacing w:before="100" w:beforeAutospacing="1" w:line="560" w:lineRule="exact"/>
              <w:jc w:val="center"/>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投标文件内容</w:t>
            </w:r>
          </w:p>
        </w:tc>
        <w:tc>
          <w:tcPr>
            <w:tcW w:w="2608" w:type="dxa"/>
            <w:noWrap w:val="0"/>
            <w:vAlign w:val="center"/>
          </w:tcPr>
          <w:p w14:paraId="2B9D906E">
            <w:pPr>
              <w:widowControl/>
              <w:spacing w:before="100" w:beforeAutospacing="1" w:line="560" w:lineRule="exact"/>
              <w:jc w:val="center"/>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偏离内容及说明</w:t>
            </w:r>
          </w:p>
        </w:tc>
      </w:tr>
      <w:tr w14:paraId="4A70E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3CD3E87B">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10B714EA">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6B40D144">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r>
      <w:tr w14:paraId="2FD49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73C500E6">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25DB1455">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0E5F5CF2">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r>
      <w:tr w14:paraId="1E375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2E32DC52">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5CFF1BBD">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29B18DBC">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r>
      <w:tr w14:paraId="120FD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2A2EB050">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604FD7A7">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07C716A6">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r>
      <w:tr w14:paraId="493C6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78CF5E83">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332FA127">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67C800F4">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r>
      <w:tr w14:paraId="7DD86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359ED4D0">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25D178CB">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71126F90">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r>
      <w:tr w14:paraId="2F230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4F725CE0">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57F614C5">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44A8215C">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r>
      <w:tr w14:paraId="7AD25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4D09FF91">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229F6F84">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c>
          <w:tcPr>
            <w:tcW w:w="2608" w:type="dxa"/>
            <w:noWrap w:val="0"/>
            <w:vAlign w:val="center"/>
          </w:tcPr>
          <w:p w14:paraId="0E09EAF2">
            <w:pPr>
              <w:widowControl w:val="0"/>
              <w:spacing w:line="560" w:lineRule="exact"/>
              <w:jc w:val="center"/>
              <w:rPr>
                <w:rFonts w:hint="default" w:ascii="仿宋_GB2312" w:hAnsi="Calibri" w:eastAsia="仿宋_GB2312" w:cs="Times New Roman"/>
                <w:color w:val="auto"/>
                <w:sz w:val="24"/>
                <w:szCs w:val="22"/>
                <w:highlight w:val="none"/>
                <w:lang w:val="en-US" w:eastAsia="zh-CN" w:bidi="ar-SA"/>
              </w:rPr>
            </w:pPr>
          </w:p>
        </w:tc>
      </w:tr>
    </w:tbl>
    <w:p w14:paraId="021E76F1">
      <w:pPr>
        <w:spacing w:line="600" w:lineRule="exact"/>
        <w:ind w:firstLine="3480"/>
        <w:jc w:val="left"/>
        <w:rPr>
          <w:rFonts w:hint="eastAsia" w:ascii="方正小标宋_GBK" w:hAnsi="Calibri" w:eastAsia="方正小标宋_GBK" w:cs="Times New Roman"/>
          <w:b/>
          <w:bCs/>
          <w:color w:val="auto"/>
          <w:sz w:val="32"/>
          <w:szCs w:val="32"/>
          <w:highlight w:val="none"/>
        </w:rPr>
      </w:pPr>
      <w:r>
        <w:rPr>
          <w:rFonts w:hint="eastAsia" w:ascii="宋体" w:hAnsi="宋体" w:eastAsia="宋体" w:cs="Times New Roman"/>
          <w:color w:val="auto"/>
          <w:sz w:val="24"/>
          <w:szCs w:val="22"/>
          <w:highlight w:val="none"/>
        </w:rPr>
        <w:t>单位名称：</w:t>
      </w:r>
      <w:r>
        <w:rPr>
          <w:rFonts w:hint="eastAsia"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w:t>
      </w:r>
      <w:r>
        <w:rPr>
          <w:rFonts w:hint="eastAsia" w:ascii="Calibri" w:hAnsi="Calibri" w:eastAsia="宋体" w:cs="Times New Roman"/>
          <w:color w:val="auto"/>
          <w:sz w:val="24"/>
          <w:szCs w:val="24"/>
          <w:highlight w:val="none"/>
        </w:rPr>
        <w:t>加盖</w:t>
      </w:r>
      <w:r>
        <w:rPr>
          <w:rFonts w:hint="default" w:ascii="Calibri" w:hAnsi="Calibri" w:eastAsia="宋体" w:cs="Times New Roman"/>
          <w:color w:val="auto"/>
          <w:sz w:val="24"/>
          <w:szCs w:val="24"/>
          <w:highlight w:val="none"/>
        </w:rPr>
        <w:t>CA</w:t>
      </w:r>
      <w:r>
        <w:rPr>
          <w:rFonts w:hint="eastAsia" w:ascii="Calibri" w:hAnsi="Calibri" w:eastAsia="宋体" w:cs="Times New Roman"/>
          <w:color w:val="auto"/>
          <w:sz w:val="24"/>
          <w:szCs w:val="24"/>
          <w:highlight w:val="none"/>
        </w:rPr>
        <w:t>电子签章</w:t>
      </w:r>
      <w:r>
        <w:rPr>
          <w:rFonts w:hint="eastAsia" w:ascii="宋体" w:hAnsi="宋体" w:eastAsia="宋体" w:cs="Times New Roman"/>
          <w:color w:val="auto"/>
          <w:sz w:val="24"/>
          <w:szCs w:val="22"/>
          <w:highlight w:val="none"/>
        </w:rPr>
        <w:t>）</w:t>
      </w:r>
    </w:p>
    <w:p w14:paraId="348985CC">
      <w:pPr>
        <w:widowControl w:val="0"/>
        <w:ind w:firstLine="482"/>
        <w:jc w:val="both"/>
        <w:rPr>
          <w:rFonts w:hint="eastAsia" w:ascii="宋体" w:hAnsi="宋体" w:eastAsia="宋体" w:cs="Times New Roman"/>
          <w:b/>
          <w:bCs/>
          <w:color w:val="auto"/>
          <w:sz w:val="24"/>
          <w:szCs w:val="28"/>
          <w:highlight w:val="none"/>
          <w:lang w:val="en-US" w:eastAsia="zh-CN" w:bidi="ar-SA"/>
        </w:rPr>
      </w:pPr>
    </w:p>
    <w:p w14:paraId="7E3FBB60">
      <w:pPr>
        <w:widowControl w:val="0"/>
        <w:jc w:val="both"/>
        <w:rPr>
          <w:rFonts w:hint="eastAsia" w:ascii="宋体" w:hAnsi="宋体" w:eastAsia="宋体" w:cs="Times New Roman"/>
          <w:b/>
          <w:bCs/>
          <w:color w:val="auto"/>
          <w:sz w:val="24"/>
          <w:szCs w:val="28"/>
          <w:highlight w:val="none"/>
          <w:lang w:val="en-US" w:eastAsia="zh-CN" w:bidi="ar-SA"/>
        </w:rPr>
      </w:pPr>
      <w:r>
        <w:rPr>
          <w:rFonts w:hint="eastAsia" w:ascii="宋体" w:hAnsi="宋体" w:eastAsia="宋体" w:cs="Times New Roman"/>
          <w:b/>
          <w:bCs/>
          <w:color w:val="auto"/>
          <w:sz w:val="24"/>
          <w:szCs w:val="28"/>
          <w:highlight w:val="none"/>
          <w:lang w:val="en-US" w:eastAsia="zh-CN" w:bidi="ar-SA"/>
        </w:rPr>
        <w:t>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p>
    <w:p w14:paraId="6D70B466">
      <w:pPr>
        <w:widowControl w:val="0"/>
        <w:spacing w:line="360" w:lineRule="auto"/>
        <w:jc w:val="both"/>
        <w:rPr>
          <w:rFonts w:hint="eastAsia" w:ascii="宋体" w:hAnsi="宋体" w:eastAsia="宋体" w:cs="Times New Roman"/>
          <w:b/>
          <w:bCs/>
          <w:color w:val="auto"/>
          <w:sz w:val="24"/>
          <w:szCs w:val="28"/>
          <w:highlight w:val="none"/>
          <w:lang w:val="en-US" w:eastAsia="zh-CN" w:bidi="ar-SA"/>
        </w:rPr>
      </w:pPr>
      <w:r>
        <w:rPr>
          <w:rFonts w:hint="eastAsia" w:ascii="宋体" w:hAnsi="宋体" w:eastAsia="宋体" w:cs="Times New Roman"/>
          <w:b/>
          <w:bCs/>
          <w:color w:val="auto"/>
          <w:sz w:val="24"/>
          <w:szCs w:val="28"/>
          <w:highlight w:val="none"/>
          <w:lang w:val="en-US" w:eastAsia="zh-CN" w:bidi="ar-SA"/>
        </w:rPr>
        <w:t>2、供应商所投产品如与招标文件要求的规格及配置不一致，则须在上表偏离说明中详细注明。</w:t>
      </w:r>
    </w:p>
    <w:p w14:paraId="083FE417">
      <w:pPr>
        <w:spacing w:line="500" w:lineRule="exact"/>
        <w:ind w:firstLine="480"/>
        <w:rPr>
          <w:rFonts w:hint="eastAsia" w:ascii="宋体" w:hAnsi="宋体" w:eastAsia="宋体" w:cs="宋体"/>
          <w:color w:val="auto"/>
          <w:sz w:val="24"/>
          <w:highlight w:val="none"/>
        </w:rPr>
      </w:pPr>
      <w:r>
        <w:rPr>
          <w:rFonts w:hint="eastAsia" w:ascii="宋体" w:hAnsi="宋体" w:eastAsia="宋体" w:cs="Times New Roman"/>
          <w:b/>
          <w:bCs/>
          <w:color w:val="auto"/>
          <w:sz w:val="24"/>
          <w:szCs w:val="28"/>
          <w:highlight w:val="none"/>
        </w:rPr>
        <w:t>3、响应部分可后附详细说明及技术资料，并注明投标文件中对应的页码范围。</w:t>
      </w:r>
    </w:p>
    <w:p w14:paraId="1F5B5FAA">
      <w:pPr>
        <w:jc w:val="center"/>
        <w:rPr>
          <w:rFonts w:hint="eastAsia" w:ascii="宋体" w:hAnsi="宋体" w:eastAsia="宋体" w:cs="宋体"/>
          <w:b/>
          <w:color w:val="auto"/>
          <w:sz w:val="36"/>
          <w:highlight w:val="none"/>
        </w:rPr>
      </w:pPr>
    </w:p>
    <w:p w14:paraId="7909F5BC">
      <w:pPr>
        <w:outlineLvl w:val="1"/>
        <w:rPr>
          <w:rFonts w:hint="eastAsia" w:ascii="宋体" w:hAnsi="宋体" w:eastAsia="宋体" w:cs="宋体"/>
          <w:b/>
          <w:color w:val="auto"/>
          <w:sz w:val="32"/>
          <w:szCs w:val="24"/>
          <w:highlight w:val="none"/>
          <w:lang w:val="en-US" w:eastAsia="zh-CN" w:bidi="ar-SA"/>
        </w:rPr>
      </w:pPr>
      <w:r>
        <w:rPr>
          <w:rFonts w:hint="eastAsia" w:ascii="宋体" w:hAnsi="宋体" w:eastAsia="宋体" w:cs="宋体"/>
          <w:b/>
          <w:color w:val="auto"/>
          <w:sz w:val="32"/>
          <w:szCs w:val="24"/>
          <w:highlight w:val="none"/>
          <w:lang w:val="en-US" w:eastAsia="zh-CN" w:bidi="ar-SA"/>
        </w:rPr>
        <w:br w:type="page" w:clear="all"/>
      </w:r>
      <w:bookmarkStart w:id="224" w:name="_Toc16083"/>
      <w:r>
        <w:rPr>
          <w:rFonts w:hint="eastAsia" w:ascii="宋体" w:hAnsi="宋体" w:eastAsia="宋体" w:cs="宋体"/>
          <w:b/>
          <w:color w:val="auto"/>
          <w:sz w:val="32"/>
          <w:szCs w:val="24"/>
          <w:highlight w:val="none"/>
          <w:lang w:val="en-US" w:eastAsia="zh-CN" w:bidi="ar-SA"/>
        </w:rPr>
        <w:t>九、项目组人员</w:t>
      </w:r>
      <w:bookmarkEnd w:id="224"/>
    </w:p>
    <w:p w14:paraId="34D082DF">
      <w:pPr>
        <w:widowControl/>
        <w:spacing w:before="100" w:beforeAutospacing="1" w:after="100" w:afterAutospacing="1" w:line="600" w:lineRule="exact"/>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
        </w:rPr>
        <w:t>项目组成员</w:t>
      </w:r>
    </w:p>
    <w:tbl>
      <w:tblPr>
        <w:tblStyle w:val="29"/>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1861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60AD7D73">
            <w:pPr>
              <w:widowControl/>
              <w:spacing w:beforeAutospacing="1" w:line="560" w:lineRule="exact"/>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姓名</w:t>
            </w:r>
          </w:p>
        </w:tc>
        <w:tc>
          <w:tcPr>
            <w:tcW w:w="1843" w:type="dxa"/>
            <w:noWrap w:val="0"/>
            <w:vAlign w:val="center"/>
          </w:tcPr>
          <w:p w14:paraId="5E30F5FF">
            <w:pPr>
              <w:widowControl/>
              <w:spacing w:beforeAutospacing="1" w:line="560" w:lineRule="exact"/>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职务</w:t>
            </w:r>
          </w:p>
        </w:tc>
        <w:tc>
          <w:tcPr>
            <w:tcW w:w="992" w:type="dxa"/>
            <w:noWrap w:val="0"/>
            <w:vAlign w:val="center"/>
          </w:tcPr>
          <w:p w14:paraId="47F09BBE">
            <w:pPr>
              <w:widowControl/>
              <w:spacing w:beforeAutospacing="1" w:line="560" w:lineRule="exact"/>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学历</w:t>
            </w:r>
          </w:p>
        </w:tc>
        <w:tc>
          <w:tcPr>
            <w:tcW w:w="1984" w:type="dxa"/>
            <w:noWrap w:val="0"/>
            <w:vAlign w:val="center"/>
          </w:tcPr>
          <w:p w14:paraId="77222E7C">
            <w:pPr>
              <w:widowControl/>
              <w:spacing w:beforeAutospacing="1" w:line="560" w:lineRule="exact"/>
              <w:ind w:firstLine="28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身份证号</w:t>
            </w:r>
          </w:p>
        </w:tc>
        <w:tc>
          <w:tcPr>
            <w:tcW w:w="1702" w:type="dxa"/>
            <w:noWrap w:val="0"/>
            <w:vAlign w:val="center"/>
          </w:tcPr>
          <w:p w14:paraId="3814BEE9">
            <w:pPr>
              <w:widowControl/>
              <w:spacing w:beforeAutospacing="1" w:line="560" w:lineRule="exact"/>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相关证书</w:t>
            </w:r>
          </w:p>
        </w:tc>
        <w:tc>
          <w:tcPr>
            <w:tcW w:w="962" w:type="dxa"/>
            <w:noWrap w:val="0"/>
            <w:vAlign w:val="center"/>
          </w:tcPr>
          <w:p w14:paraId="0BBE55A4">
            <w:pPr>
              <w:widowControl/>
              <w:spacing w:beforeAutospacing="1" w:line="560" w:lineRule="exact"/>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备注</w:t>
            </w:r>
          </w:p>
        </w:tc>
      </w:tr>
      <w:tr w14:paraId="5E6CA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0E593B1">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31135A81">
            <w:pPr>
              <w:widowControl/>
              <w:spacing w:before="100" w:beforeAutospacing="1" w:after="100" w:afterAutospacing="1"/>
              <w:jc w:val="center"/>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8"/>
                <w:szCs w:val="28"/>
                <w:highlight w:val="none"/>
                <w:lang w:val="en-US" w:eastAsia="zh-CN" w:bidi="ar"/>
              </w:rPr>
              <w:t>项目负责人</w:t>
            </w:r>
          </w:p>
        </w:tc>
        <w:tc>
          <w:tcPr>
            <w:tcW w:w="992" w:type="dxa"/>
            <w:noWrap w:val="0"/>
            <w:vAlign w:val="center"/>
          </w:tcPr>
          <w:p w14:paraId="27A8EB2C">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261E3AA7">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1F3FD9C8">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72E7591F">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0DB09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3280D4C">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3EF79403">
            <w:pPr>
              <w:widowControl/>
              <w:spacing w:before="100" w:beforeAutospacing="1" w:after="100" w:afterAutospacing="1"/>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
              </w:rPr>
              <w:t>......</w:t>
            </w:r>
          </w:p>
        </w:tc>
        <w:tc>
          <w:tcPr>
            <w:tcW w:w="992" w:type="dxa"/>
            <w:noWrap w:val="0"/>
            <w:vAlign w:val="center"/>
          </w:tcPr>
          <w:p w14:paraId="3A207A0D">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6F162C7D">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01D88139">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10E683C4">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0CBA5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E999A97">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46B49C42">
            <w:pPr>
              <w:widowControl/>
              <w:spacing w:before="100" w:beforeAutospacing="1" w:after="100" w:afterAutospacing="1"/>
              <w:ind w:firstLine="280"/>
              <w:jc w:val="lef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
              </w:rPr>
              <w:t>......</w:t>
            </w:r>
          </w:p>
        </w:tc>
        <w:tc>
          <w:tcPr>
            <w:tcW w:w="992" w:type="dxa"/>
            <w:noWrap w:val="0"/>
            <w:vAlign w:val="center"/>
          </w:tcPr>
          <w:p w14:paraId="1AB6EEFF">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39496252">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56227062">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28F31F63">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5BF9D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05A26A6">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7517AB57">
            <w:pPr>
              <w:widowControl/>
              <w:spacing w:before="100" w:beforeAutospacing="1" w:after="100" w:afterAutospacing="1"/>
              <w:jc w:val="left"/>
              <w:rPr>
                <w:rFonts w:hint="eastAsia" w:ascii="宋体" w:hAnsi="宋体" w:eastAsia="宋体" w:cs="宋体"/>
                <w:color w:val="auto"/>
                <w:sz w:val="28"/>
                <w:szCs w:val="28"/>
                <w:highlight w:val="none"/>
                <w:lang w:val="en-US" w:eastAsia="zh-CN" w:bidi="ar-SA"/>
              </w:rPr>
            </w:pPr>
          </w:p>
        </w:tc>
        <w:tc>
          <w:tcPr>
            <w:tcW w:w="992" w:type="dxa"/>
            <w:noWrap w:val="0"/>
            <w:vAlign w:val="center"/>
          </w:tcPr>
          <w:p w14:paraId="3295BE36">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512A654D">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4FD53786">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14C858B1">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0C523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E38B74F">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72C29D57">
            <w:pPr>
              <w:widowControl/>
              <w:spacing w:before="100" w:beforeAutospacing="1" w:after="100" w:afterAutospacing="1"/>
              <w:jc w:val="left"/>
              <w:rPr>
                <w:rFonts w:hint="eastAsia" w:ascii="宋体" w:hAnsi="宋体" w:eastAsia="宋体" w:cs="宋体"/>
                <w:color w:val="auto"/>
                <w:sz w:val="28"/>
                <w:szCs w:val="28"/>
                <w:highlight w:val="none"/>
                <w:lang w:val="en-US" w:eastAsia="zh-CN" w:bidi="ar-SA"/>
              </w:rPr>
            </w:pPr>
          </w:p>
        </w:tc>
        <w:tc>
          <w:tcPr>
            <w:tcW w:w="992" w:type="dxa"/>
            <w:noWrap w:val="0"/>
            <w:vAlign w:val="center"/>
          </w:tcPr>
          <w:p w14:paraId="33F3CBDF">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02B8FC12">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70A7EA20">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115BF419">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2D736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BD9B72E">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196CE7CF">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92" w:type="dxa"/>
            <w:noWrap w:val="0"/>
            <w:vAlign w:val="center"/>
          </w:tcPr>
          <w:p w14:paraId="339AAB67">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5E4B1E91">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1041A613">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518873AE">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76404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D5F4AF3">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2588BF98">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92" w:type="dxa"/>
            <w:noWrap w:val="0"/>
            <w:vAlign w:val="center"/>
          </w:tcPr>
          <w:p w14:paraId="5EBF5AEF">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458DFA21">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6BE90E69">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72E98B09">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51F2C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A4921C4">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2809092E">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92" w:type="dxa"/>
            <w:noWrap w:val="0"/>
            <w:vAlign w:val="center"/>
          </w:tcPr>
          <w:p w14:paraId="53FC84C4">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0DAC7BD6">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2804F5DA">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0A764BA6">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3EBE9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16D4DA0">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55B2D9C3">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92" w:type="dxa"/>
            <w:noWrap w:val="0"/>
            <w:vAlign w:val="center"/>
          </w:tcPr>
          <w:p w14:paraId="4786A786">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534C64C8">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190EEAA0">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2AC5CAD1">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r w14:paraId="22FD3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10245D9">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843" w:type="dxa"/>
            <w:noWrap w:val="0"/>
            <w:vAlign w:val="center"/>
          </w:tcPr>
          <w:p w14:paraId="24DE76AC">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92" w:type="dxa"/>
            <w:noWrap w:val="0"/>
            <w:vAlign w:val="center"/>
          </w:tcPr>
          <w:p w14:paraId="7A4C85A9">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984" w:type="dxa"/>
            <w:noWrap w:val="0"/>
            <w:vAlign w:val="center"/>
          </w:tcPr>
          <w:p w14:paraId="05E0F571">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1702" w:type="dxa"/>
            <w:noWrap w:val="0"/>
            <w:vAlign w:val="center"/>
          </w:tcPr>
          <w:p w14:paraId="1240391F">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c>
          <w:tcPr>
            <w:tcW w:w="962" w:type="dxa"/>
            <w:noWrap w:val="0"/>
            <w:vAlign w:val="center"/>
          </w:tcPr>
          <w:p w14:paraId="2CE7741D">
            <w:pPr>
              <w:widowControl/>
              <w:spacing w:line="560" w:lineRule="exact"/>
              <w:ind w:firstLine="560"/>
              <w:jc w:val="center"/>
              <w:rPr>
                <w:rFonts w:hint="eastAsia" w:ascii="宋体" w:hAnsi="宋体" w:eastAsia="宋体" w:cs="宋体"/>
                <w:color w:val="auto"/>
                <w:sz w:val="28"/>
                <w:szCs w:val="28"/>
                <w:highlight w:val="none"/>
                <w:lang w:val="en-US" w:eastAsia="zh-CN" w:bidi="ar-SA"/>
              </w:rPr>
            </w:pPr>
          </w:p>
        </w:tc>
      </w:tr>
    </w:tbl>
    <w:p w14:paraId="661DA835">
      <w:pPr>
        <w:widowControl/>
        <w:spacing w:before="100" w:beforeAutospacing="1" w:after="100" w:afterAutospacing="1" w:line="460" w:lineRule="exact"/>
        <w:ind w:firstLine="398"/>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
        </w:rPr>
        <w:t>注：如供应商中标，项目组成员必须按本表承诺人员操作，不得随意更换。按投标文件要求附相关人员证书。</w:t>
      </w:r>
    </w:p>
    <w:p w14:paraId="389A54D0">
      <w:pPr>
        <w:widowControl/>
        <w:spacing w:before="100" w:beforeAutospacing="1" w:after="100" w:afterAutospacing="1" w:line="500" w:lineRule="exact"/>
        <w:ind w:firstLine="280"/>
        <w:jc w:val="left"/>
        <w:rPr>
          <w:rFonts w:hint="eastAsia" w:ascii="宋体" w:hAnsi="宋体" w:eastAsia="宋体" w:cs="宋体"/>
          <w:color w:val="auto"/>
          <w:sz w:val="24"/>
          <w:szCs w:val="24"/>
          <w:highlight w:val="none"/>
          <w:lang w:val="en-US" w:eastAsia="zh-CN" w:bidi="ar-SA"/>
        </w:rPr>
      </w:pPr>
    </w:p>
    <w:p w14:paraId="388FD1F5">
      <w:pPr>
        <w:widowControl w:val="0"/>
        <w:spacing w:line="500" w:lineRule="exact"/>
        <w:jc w:val="both"/>
        <w:outlineLvl w:val="1"/>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br w:type="page" w:clear="all"/>
      </w:r>
      <w:bookmarkStart w:id="225" w:name="_Toc11176"/>
      <w:bookmarkStart w:id="226" w:name="_Toc55"/>
      <w:r>
        <w:rPr>
          <w:rFonts w:hint="eastAsia" w:ascii="宋体" w:hAnsi="宋体" w:eastAsia="宋体" w:cs="宋体"/>
          <w:b/>
          <w:bCs/>
          <w:color w:val="auto"/>
          <w:sz w:val="32"/>
          <w:szCs w:val="32"/>
          <w:highlight w:val="none"/>
          <w:lang w:val="en-US" w:eastAsia="zh-CN" w:bidi="ar-SA"/>
        </w:rPr>
        <w:t>十、</w:t>
      </w:r>
      <w:bookmarkEnd w:id="225"/>
      <w:r>
        <w:rPr>
          <w:rFonts w:hint="eastAsia" w:ascii="宋体" w:hAnsi="宋体" w:eastAsia="宋体" w:cs="宋体"/>
          <w:b/>
          <w:bCs/>
          <w:color w:val="auto"/>
          <w:sz w:val="32"/>
          <w:szCs w:val="32"/>
          <w:highlight w:val="none"/>
          <w:lang w:val="en-US" w:eastAsia="zh-CN" w:bidi="ar-SA"/>
        </w:rPr>
        <w:t>企业业绩</w:t>
      </w:r>
      <w:bookmarkEnd w:id="226"/>
    </w:p>
    <w:p w14:paraId="38961718">
      <w:pPr>
        <w:widowControl w:val="0"/>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投标人承担类似项目业绩一览表</w:t>
      </w:r>
    </w:p>
    <w:tbl>
      <w:tblPr>
        <w:tblStyle w:val="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3AF15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6B1FFB8D">
            <w:pPr>
              <w:widowControl w:val="0"/>
              <w:spacing w:line="560" w:lineRule="exact"/>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序号</w:t>
            </w:r>
          </w:p>
        </w:tc>
        <w:tc>
          <w:tcPr>
            <w:tcW w:w="3827" w:type="dxa"/>
            <w:noWrap w:val="0"/>
            <w:vAlign w:val="center"/>
          </w:tcPr>
          <w:p w14:paraId="71E7B521">
            <w:pPr>
              <w:widowControl w:val="0"/>
              <w:spacing w:line="560" w:lineRule="exact"/>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项目名称</w:t>
            </w:r>
          </w:p>
        </w:tc>
        <w:tc>
          <w:tcPr>
            <w:tcW w:w="2433" w:type="dxa"/>
            <w:noWrap w:val="0"/>
            <w:vAlign w:val="center"/>
          </w:tcPr>
          <w:p w14:paraId="5F82C751">
            <w:pPr>
              <w:widowControl w:val="0"/>
              <w:spacing w:line="560" w:lineRule="exact"/>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采购单位</w:t>
            </w:r>
          </w:p>
        </w:tc>
        <w:tc>
          <w:tcPr>
            <w:tcW w:w="1395" w:type="dxa"/>
            <w:noWrap w:val="0"/>
            <w:vAlign w:val="center"/>
          </w:tcPr>
          <w:p w14:paraId="3D0E08FE">
            <w:pPr>
              <w:widowControl w:val="0"/>
              <w:spacing w:line="560" w:lineRule="exact"/>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合同金额</w:t>
            </w:r>
          </w:p>
        </w:tc>
      </w:tr>
      <w:tr w14:paraId="7B89B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9FEA41A">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3827" w:type="dxa"/>
            <w:noWrap w:val="0"/>
            <w:vAlign w:val="center"/>
          </w:tcPr>
          <w:p w14:paraId="22091098">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2433" w:type="dxa"/>
            <w:noWrap w:val="0"/>
            <w:vAlign w:val="center"/>
          </w:tcPr>
          <w:p w14:paraId="2F63B4A2">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1395" w:type="dxa"/>
            <w:noWrap w:val="0"/>
            <w:vAlign w:val="center"/>
          </w:tcPr>
          <w:p w14:paraId="36603198">
            <w:pPr>
              <w:widowControl w:val="0"/>
              <w:spacing w:line="560" w:lineRule="exact"/>
              <w:jc w:val="center"/>
              <w:rPr>
                <w:rFonts w:hint="eastAsia" w:ascii="宋体" w:hAnsi="宋体" w:eastAsia="宋体" w:cs="宋体"/>
                <w:color w:val="auto"/>
                <w:sz w:val="28"/>
                <w:szCs w:val="24"/>
                <w:highlight w:val="none"/>
                <w:lang w:val="en-US" w:eastAsia="zh-CN" w:bidi="ar-SA"/>
              </w:rPr>
            </w:pPr>
          </w:p>
        </w:tc>
      </w:tr>
      <w:tr w14:paraId="66B37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0821CC66">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3827" w:type="dxa"/>
            <w:noWrap w:val="0"/>
            <w:vAlign w:val="center"/>
          </w:tcPr>
          <w:p w14:paraId="3C947A6D">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2433" w:type="dxa"/>
            <w:noWrap w:val="0"/>
            <w:vAlign w:val="center"/>
          </w:tcPr>
          <w:p w14:paraId="4853F8AD">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1395" w:type="dxa"/>
            <w:noWrap w:val="0"/>
            <w:vAlign w:val="center"/>
          </w:tcPr>
          <w:p w14:paraId="05B4BB07">
            <w:pPr>
              <w:widowControl w:val="0"/>
              <w:spacing w:line="560" w:lineRule="exact"/>
              <w:jc w:val="center"/>
              <w:rPr>
                <w:rFonts w:hint="eastAsia" w:ascii="宋体" w:hAnsi="宋体" w:eastAsia="宋体" w:cs="宋体"/>
                <w:color w:val="auto"/>
                <w:sz w:val="28"/>
                <w:szCs w:val="24"/>
                <w:highlight w:val="none"/>
                <w:lang w:val="en-US" w:eastAsia="zh-CN" w:bidi="ar-SA"/>
              </w:rPr>
            </w:pPr>
          </w:p>
        </w:tc>
      </w:tr>
      <w:tr w14:paraId="5CCC9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88C3E79">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3827" w:type="dxa"/>
            <w:noWrap w:val="0"/>
            <w:vAlign w:val="center"/>
          </w:tcPr>
          <w:p w14:paraId="3922ACC4">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2433" w:type="dxa"/>
            <w:noWrap w:val="0"/>
            <w:vAlign w:val="center"/>
          </w:tcPr>
          <w:p w14:paraId="3FF89025">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1395" w:type="dxa"/>
            <w:noWrap w:val="0"/>
            <w:vAlign w:val="center"/>
          </w:tcPr>
          <w:p w14:paraId="5E24066E">
            <w:pPr>
              <w:widowControl w:val="0"/>
              <w:spacing w:line="560" w:lineRule="exact"/>
              <w:jc w:val="center"/>
              <w:rPr>
                <w:rFonts w:hint="eastAsia" w:ascii="宋体" w:hAnsi="宋体" w:eastAsia="宋体" w:cs="宋体"/>
                <w:color w:val="auto"/>
                <w:sz w:val="28"/>
                <w:szCs w:val="24"/>
                <w:highlight w:val="none"/>
                <w:lang w:val="en-US" w:eastAsia="zh-CN" w:bidi="ar-SA"/>
              </w:rPr>
            </w:pPr>
          </w:p>
        </w:tc>
      </w:tr>
      <w:tr w14:paraId="032A5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51EEA6E8">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3827" w:type="dxa"/>
            <w:noWrap w:val="0"/>
            <w:vAlign w:val="center"/>
          </w:tcPr>
          <w:p w14:paraId="17324BDC">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2433" w:type="dxa"/>
            <w:noWrap w:val="0"/>
            <w:vAlign w:val="center"/>
          </w:tcPr>
          <w:p w14:paraId="6111ECD8">
            <w:pPr>
              <w:widowControl w:val="0"/>
              <w:spacing w:line="560" w:lineRule="exact"/>
              <w:jc w:val="center"/>
              <w:rPr>
                <w:rFonts w:hint="eastAsia" w:ascii="宋体" w:hAnsi="宋体" w:eastAsia="宋体" w:cs="宋体"/>
                <w:color w:val="auto"/>
                <w:sz w:val="28"/>
                <w:szCs w:val="24"/>
                <w:highlight w:val="none"/>
                <w:lang w:val="en-US" w:eastAsia="zh-CN" w:bidi="ar-SA"/>
              </w:rPr>
            </w:pPr>
          </w:p>
        </w:tc>
        <w:tc>
          <w:tcPr>
            <w:tcW w:w="1395" w:type="dxa"/>
            <w:noWrap w:val="0"/>
            <w:vAlign w:val="center"/>
          </w:tcPr>
          <w:p w14:paraId="3BDAB1C5">
            <w:pPr>
              <w:widowControl w:val="0"/>
              <w:spacing w:line="560" w:lineRule="exact"/>
              <w:jc w:val="center"/>
              <w:rPr>
                <w:rFonts w:hint="eastAsia" w:ascii="宋体" w:hAnsi="宋体" w:eastAsia="宋体" w:cs="宋体"/>
                <w:color w:val="auto"/>
                <w:sz w:val="28"/>
                <w:szCs w:val="24"/>
                <w:highlight w:val="none"/>
                <w:lang w:val="en-US" w:eastAsia="zh-CN" w:bidi="ar-SA"/>
              </w:rPr>
            </w:pPr>
          </w:p>
        </w:tc>
      </w:tr>
    </w:tbl>
    <w:p w14:paraId="49F9174A">
      <w:pPr>
        <w:widowControl w:val="0"/>
        <w:jc w:val="both"/>
        <w:rPr>
          <w:rFonts w:hint="eastAsia" w:ascii="宋体" w:hAnsi="宋体" w:eastAsia="宋体" w:cs="宋体"/>
          <w:color w:val="auto"/>
          <w:sz w:val="21"/>
          <w:szCs w:val="22"/>
          <w:highlight w:val="none"/>
          <w:lang w:val="en-US" w:eastAsia="zh-CN" w:bidi="ar-SA"/>
        </w:rPr>
      </w:pPr>
      <w:r>
        <w:rPr>
          <w:rFonts w:hint="eastAsia" w:ascii="宋体" w:hAnsi="宋体" w:eastAsia="宋体" w:cs="宋体"/>
          <w:b/>
          <w:color w:val="auto"/>
          <w:sz w:val="24"/>
          <w:szCs w:val="22"/>
          <w:highlight w:val="none"/>
          <w:lang w:val="en-US" w:eastAsia="zh-CN" w:bidi="ar-SA"/>
        </w:rPr>
        <w:t>注：请填写此表，并按要求上传业绩资料电子件。</w:t>
      </w:r>
    </w:p>
    <w:p w14:paraId="6F1EAF31">
      <w:pPr>
        <w:outlineLvl w:val="1"/>
        <w:rPr>
          <w:rFonts w:hint="eastAsia" w:ascii="宋体" w:hAnsi="宋体" w:eastAsia="宋体" w:cs="宋体"/>
          <w:b/>
          <w:color w:val="auto"/>
          <w:sz w:val="32"/>
          <w:szCs w:val="24"/>
          <w:highlight w:val="none"/>
          <w:lang w:val="en-US" w:eastAsia="zh-CN" w:bidi="ar-SA"/>
        </w:rPr>
      </w:pPr>
      <w:r>
        <w:rPr>
          <w:rFonts w:hint="eastAsia" w:ascii="宋体" w:hAnsi="宋体" w:eastAsia="宋体" w:cs="宋体"/>
          <w:b/>
          <w:color w:val="auto"/>
          <w:sz w:val="32"/>
          <w:szCs w:val="24"/>
          <w:highlight w:val="none"/>
          <w:lang w:val="en-US" w:eastAsia="zh-CN" w:bidi="ar-SA"/>
        </w:rPr>
        <w:br w:type="page" w:clear="all"/>
      </w:r>
      <w:bookmarkStart w:id="227" w:name="_Toc6184"/>
      <w:bookmarkStart w:id="228" w:name="_Toc28140"/>
      <w:r>
        <w:rPr>
          <w:rFonts w:hint="eastAsia" w:ascii="宋体" w:hAnsi="宋体" w:eastAsia="宋体" w:cs="宋体"/>
          <w:b/>
          <w:color w:val="auto"/>
          <w:sz w:val="32"/>
          <w:szCs w:val="24"/>
          <w:highlight w:val="none"/>
          <w:lang w:val="en-US" w:eastAsia="zh-CN" w:bidi="ar-SA"/>
        </w:rPr>
        <w:t>十一、项目实施方案</w:t>
      </w:r>
    </w:p>
    <w:p w14:paraId="450B8A05">
      <w:pPr>
        <w:outlineLvl w:val="1"/>
        <w:rPr>
          <w:rFonts w:hint="default" w:ascii="宋体" w:hAnsi="宋体" w:eastAsia="宋体" w:cs="宋体"/>
          <w:b/>
          <w:color w:val="auto"/>
          <w:sz w:val="32"/>
          <w:szCs w:val="24"/>
          <w:highlight w:val="none"/>
          <w:lang w:val="en-US" w:eastAsia="zh-CN" w:bidi="ar-SA"/>
        </w:rPr>
      </w:pPr>
      <w:r>
        <w:rPr>
          <w:rFonts w:hint="eastAsia" w:ascii="宋体" w:hAnsi="宋体" w:eastAsia="宋体" w:cs="宋体"/>
          <w:b/>
          <w:color w:val="auto"/>
          <w:sz w:val="32"/>
          <w:szCs w:val="24"/>
          <w:highlight w:val="none"/>
          <w:lang w:val="en-US" w:eastAsia="zh-CN" w:bidi="ar-SA"/>
        </w:rPr>
        <w:t>格式自拟</w:t>
      </w:r>
    </w:p>
    <w:p w14:paraId="692EAFCB">
      <w:pPr>
        <w:outlineLvl w:val="1"/>
        <w:rPr>
          <w:rFonts w:hint="eastAsia" w:ascii="宋体" w:hAnsi="宋体" w:eastAsia="宋体" w:cs="宋体"/>
          <w:b/>
          <w:color w:val="auto"/>
          <w:sz w:val="32"/>
          <w:szCs w:val="24"/>
          <w:highlight w:val="none"/>
          <w:lang w:val="en-US" w:eastAsia="zh-CN" w:bidi="ar-SA"/>
        </w:rPr>
      </w:pPr>
    </w:p>
    <w:p w14:paraId="7FAEB3A0">
      <w:pPr>
        <w:outlineLvl w:val="1"/>
        <w:rPr>
          <w:rFonts w:hint="eastAsia" w:ascii="宋体" w:hAnsi="宋体" w:eastAsia="宋体" w:cs="宋体"/>
          <w:b/>
          <w:color w:val="auto"/>
          <w:sz w:val="32"/>
          <w:szCs w:val="24"/>
          <w:highlight w:val="none"/>
          <w:lang w:val="en-US" w:eastAsia="zh-CN" w:bidi="ar-SA"/>
        </w:rPr>
      </w:pPr>
    </w:p>
    <w:p w14:paraId="2C291EF3">
      <w:pPr>
        <w:outlineLvl w:val="1"/>
        <w:rPr>
          <w:rFonts w:hint="eastAsia" w:ascii="宋体" w:hAnsi="宋体" w:eastAsia="宋体" w:cs="宋体"/>
          <w:b/>
          <w:color w:val="auto"/>
          <w:sz w:val="32"/>
          <w:szCs w:val="24"/>
          <w:highlight w:val="none"/>
          <w:lang w:val="en-US" w:eastAsia="zh-CN" w:bidi="ar-SA"/>
        </w:rPr>
      </w:pPr>
    </w:p>
    <w:p w14:paraId="19D959A7">
      <w:pPr>
        <w:outlineLvl w:val="1"/>
        <w:rPr>
          <w:rFonts w:hint="eastAsia" w:ascii="宋体" w:hAnsi="宋体" w:eastAsia="宋体" w:cs="宋体"/>
          <w:b/>
          <w:color w:val="auto"/>
          <w:sz w:val="32"/>
          <w:szCs w:val="24"/>
          <w:highlight w:val="none"/>
          <w:lang w:val="en-US" w:eastAsia="zh-CN" w:bidi="ar-SA"/>
        </w:rPr>
      </w:pPr>
    </w:p>
    <w:p w14:paraId="5C2B8D80">
      <w:pPr>
        <w:outlineLvl w:val="1"/>
        <w:rPr>
          <w:rFonts w:hint="eastAsia" w:ascii="宋体" w:hAnsi="宋体" w:eastAsia="宋体" w:cs="宋体"/>
          <w:b/>
          <w:color w:val="auto"/>
          <w:sz w:val="32"/>
          <w:szCs w:val="24"/>
          <w:highlight w:val="none"/>
          <w:lang w:val="en-US" w:eastAsia="zh-CN" w:bidi="ar-SA"/>
        </w:rPr>
      </w:pPr>
    </w:p>
    <w:p w14:paraId="2D908352">
      <w:pPr>
        <w:outlineLvl w:val="1"/>
        <w:rPr>
          <w:rFonts w:hint="eastAsia" w:ascii="宋体" w:hAnsi="宋体" w:eastAsia="宋体" w:cs="宋体"/>
          <w:b/>
          <w:color w:val="auto"/>
          <w:sz w:val="32"/>
          <w:szCs w:val="24"/>
          <w:highlight w:val="none"/>
          <w:lang w:val="en-US" w:eastAsia="zh-CN" w:bidi="ar-SA"/>
        </w:rPr>
      </w:pPr>
    </w:p>
    <w:p w14:paraId="48AF1A74">
      <w:pPr>
        <w:outlineLvl w:val="1"/>
        <w:rPr>
          <w:rFonts w:hint="eastAsia" w:ascii="宋体" w:hAnsi="宋体" w:eastAsia="宋体" w:cs="宋体"/>
          <w:b/>
          <w:color w:val="auto"/>
          <w:sz w:val="32"/>
          <w:szCs w:val="24"/>
          <w:highlight w:val="none"/>
          <w:lang w:val="en-US" w:eastAsia="zh-CN" w:bidi="ar-SA"/>
        </w:rPr>
      </w:pPr>
    </w:p>
    <w:p w14:paraId="5F207EE4">
      <w:pPr>
        <w:outlineLvl w:val="1"/>
        <w:rPr>
          <w:rFonts w:hint="eastAsia" w:ascii="宋体" w:hAnsi="宋体" w:eastAsia="宋体" w:cs="宋体"/>
          <w:b/>
          <w:color w:val="auto"/>
          <w:sz w:val="32"/>
          <w:szCs w:val="24"/>
          <w:highlight w:val="none"/>
          <w:lang w:val="en-US" w:eastAsia="zh-CN" w:bidi="ar-SA"/>
        </w:rPr>
      </w:pPr>
    </w:p>
    <w:p w14:paraId="1F57741D">
      <w:pPr>
        <w:outlineLvl w:val="1"/>
        <w:rPr>
          <w:rFonts w:hint="eastAsia" w:ascii="宋体" w:hAnsi="宋体" w:eastAsia="宋体" w:cs="宋体"/>
          <w:b/>
          <w:color w:val="auto"/>
          <w:sz w:val="32"/>
          <w:szCs w:val="24"/>
          <w:highlight w:val="none"/>
          <w:lang w:val="en-US" w:eastAsia="zh-CN" w:bidi="ar-SA"/>
        </w:rPr>
      </w:pPr>
    </w:p>
    <w:p w14:paraId="6517C04C">
      <w:pPr>
        <w:outlineLvl w:val="1"/>
        <w:rPr>
          <w:rFonts w:hint="eastAsia" w:ascii="宋体" w:hAnsi="宋体" w:eastAsia="宋体" w:cs="宋体"/>
          <w:b/>
          <w:color w:val="auto"/>
          <w:sz w:val="32"/>
          <w:szCs w:val="24"/>
          <w:highlight w:val="none"/>
          <w:lang w:val="en-US" w:eastAsia="zh-CN" w:bidi="ar-SA"/>
        </w:rPr>
      </w:pPr>
    </w:p>
    <w:p w14:paraId="1DA32606">
      <w:pPr>
        <w:outlineLvl w:val="1"/>
        <w:rPr>
          <w:rFonts w:hint="eastAsia" w:ascii="宋体" w:hAnsi="宋体" w:eastAsia="宋体" w:cs="宋体"/>
          <w:b/>
          <w:color w:val="auto"/>
          <w:sz w:val="32"/>
          <w:szCs w:val="24"/>
          <w:highlight w:val="none"/>
          <w:lang w:val="en-US" w:eastAsia="zh-CN" w:bidi="ar-SA"/>
        </w:rPr>
      </w:pPr>
    </w:p>
    <w:p w14:paraId="158E122B">
      <w:pPr>
        <w:outlineLvl w:val="1"/>
        <w:rPr>
          <w:rFonts w:hint="eastAsia" w:ascii="宋体" w:hAnsi="宋体" w:eastAsia="宋体" w:cs="宋体"/>
          <w:b/>
          <w:color w:val="auto"/>
          <w:sz w:val="32"/>
          <w:szCs w:val="24"/>
          <w:highlight w:val="none"/>
          <w:lang w:val="en-US" w:eastAsia="zh-CN" w:bidi="ar-SA"/>
        </w:rPr>
      </w:pPr>
    </w:p>
    <w:p w14:paraId="781527FA">
      <w:pPr>
        <w:outlineLvl w:val="1"/>
        <w:rPr>
          <w:rFonts w:hint="eastAsia" w:ascii="宋体" w:hAnsi="宋体" w:eastAsia="宋体" w:cs="宋体"/>
          <w:b/>
          <w:color w:val="auto"/>
          <w:sz w:val="32"/>
          <w:szCs w:val="24"/>
          <w:highlight w:val="none"/>
          <w:lang w:val="en-US" w:eastAsia="zh-CN" w:bidi="ar-SA"/>
        </w:rPr>
      </w:pPr>
    </w:p>
    <w:p w14:paraId="7F22E0B7">
      <w:pPr>
        <w:outlineLvl w:val="1"/>
        <w:rPr>
          <w:rFonts w:hint="eastAsia" w:ascii="宋体" w:hAnsi="宋体" w:eastAsia="宋体" w:cs="宋体"/>
          <w:b/>
          <w:color w:val="auto"/>
          <w:sz w:val="32"/>
          <w:szCs w:val="24"/>
          <w:highlight w:val="none"/>
          <w:lang w:val="en-US" w:eastAsia="zh-CN" w:bidi="ar-SA"/>
        </w:rPr>
      </w:pPr>
    </w:p>
    <w:p w14:paraId="4E2CD35C">
      <w:pPr>
        <w:outlineLvl w:val="1"/>
        <w:rPr>
          <w:rFonts w:hint="eastAsia" w:ascii="宋体" w:hAnsi="宋体" w:eastAsia="宋体" w:cs="宋体"/>
          <w:b/>
          <w:color w:val="auto"/>
          <w:sz w:val="32"/>
          <w:szCs w:val="24"/>
          <w:highlight w:val="none"/>
          <w:lang w:val="en-US" w:eastAsia="zh-CN" w:bidi="ar-SA"/>
        </w:rPr>
      </w:pPr>
    </w:p>
    <w:p w14:paraId="63247A05">
      <w:pPr>
        <w:outlineLvl w:val="1"/>
        <w:rPr>
          <w:rFonts w:hint="eastAsia" w:ascii="宋体" w:hAnsi="宋体" w:eastAsia="宋体" w:cs="宋体"/>
          <w:b/>
          <w:color w:val="auto"/>
          <w:sz w:val="32"/>
          <w:szCs w:val="24"/>
          <w:highlight w:val="none"/>
          <w:lang w:val="en-US" w:eastAsia="zh-CN" w:bidi="ar-SA"/>
        </w:rPr>
      </w:pPr>
    </w:p>
    <w:p w14:paraId="7F23CCF9">
      <w:pPr>
        <w:outlineLvl w:val="1"/>
        <w:rPr>
          <w:rFonts w:hint="eastAsia" w:ascii="宋体" w:hAnsi="宋体" w:eastAsia="宋体" w:cs="宋体"/>
          <w:b/>
          <w:color w:val="auto"/>
          <w:sz w:val="32"/>
          <w:szCs w:val="24"/>
          <w:highlight w:val="none"/>
          <w:lang w:val="en-US" w:eastAsia="zh-CN" w:bidi="ar-SA"/>
        </w:rPr>
      </w:pPr>
    </w:p>
    <w:p w14:paraId="725EBC3B">
      <w:pPr>
        <w:outlineLvl w:val="1"/>
        <w:rPr>
          <w:rFonts w:hint="eastAsia" w:ascii="宋体" w:hAnsi="宋体" w:eastAsia="宋体" w:cs="宋体"/>
          <w:b/>
          <w:color w:val="auto"/>
          <w:sz w:val="32"/>
          <w:szCs w:val="24"/>
          <w:highlight w:val="none"/>
          <w:lang w:val="en-US" w:eastAsia="zh-CN" w:bidi="ar-SA"/>
        </w:rPr>
      </w:pPr>
    </w:p>
    <w:p w14:paraId="19F959B7">
      <w:pPr>
        <w:outlineLvl w:val="1"/>
        <w:rPr>
          <w:rFonts w:hint="eastAsia" w:ascii="宋体" w:hAnsi="宋体" w:eastAsia="宋体" w:cs="宋体"/>
          <w:b/>
          <w:color w:val="auto"/>
          <w:sz w:val="32"/>
          <w:szCs w:val="24"/>
          <w:highlight w:val="none"/>
          <w:lang w:val="en-US" w:eastAsia="zh-CN" w:bidi="ar-SA"/>
        </w:rPr>
      </w:pPr>
    </w:p>
    <w:p w14:paraId="26CFDFCB">
      <w:pPr>
        <w:outlineLvl w:val="1"/>
        <w:rPr>
          <w:rFonts w:hint="eastAsia" w:ascii="宋体" w:hAnsi="宋体" w:eastAsia="宋体" w:cs="宋体"/>
          <w:b/>
          <w:color w:val="auto"/>
          <w:sz w:val="32"/>
          <w:szCs w:val="24"/>
          <w:highlight w:val="none"/>
          <w:lang w:val="en-US" w:eastAsia="zh-CN" w:bidi="ar-SA"/>
        </w:rPr>
      </w:pPr>
    </w:p>
    <w:p w14:paraId="64D2A8C2">
      <w:pPr>
        <w:outlineLvl w:val="1"/>
        <w:rPr>
          <w:rFonts w:hint="eastAsia" w:ascii="宋体" w:hAnsi="宋体" w:eastAsia="宋体" w:cs="宋体"/>
          <w:b/>
          <w:color w:val="auto"/>
          <w:sz w:val="32"/>
          <w:szCs w:val="24"/>
          <w:highlight w:val="none"/>
          <w:lang w:val="en-US" w:eastAsia="zh-CN" w:bidi="ar-SA"/>
        </w:rPr>
      </w:pPr>
    </w:p>
    <w:p w14:paraId="5CBC6F25">
      <w:pPr>
        <w:outlineLvl w:val="1"/>
        <w:rPr>
          <w:rFonts w:hint="eastAsia" w:ascii="宋体" w:hAnsi="宋体" w:eastAsia="宋体" w:cs="宋体"/>
          <w:b/>
          <w:color w:val="auto"/>
          <w:sz w:val="32"/>
          <w:szCs w:val="24"/>
          <w:highlight w:val="none"/>
          <w:lang w:val="en-US" w:eastAsia="zh-CN" w:bidi="ar-SA"/>
        </w:rPr>
      </w:pPr>
    </w:p>
    <w:p w14:paraId="4F035F75">
      <w:pPr>
        <w:outlineLvl w:val="1"/>
        <w:rPr>
          <w:rFonts w:hint="eastAsia" w:ascii="宋体" w:hAnsi="宋体" w:eastAsia="宋体" w:cs="宋体"/>
          <w:b/>
          <w:color w:val="auto"/>
          <w:sz w:val="32"/>
          <w:szCs w:val="24"/>
          <w:highlight w:val="none"/>
          <w:lang w:val="en-US" w:eastAsia="zh-CN" w:bidi="ar-SA"/>
        </w:rPr>
      </w:pPr>
    </w:p>
    <w:p w14:paraId="0DFC1B38">
      <w:pPr>
        <w:outlineLvl w:val="1"/>
        <w:rPr>
          <w:rFonts w:hint="eastAsia" w:ascii="宋体" w:hAnsi="宋体" w:eastAsia="宋体" w:cs="宋体"/>
          <w:b/>
          <w:color w:val="auto"/>
          <w:sz w:val="32"/>
          <w:szCs w:val="24"/>
          <w:highlight w:val="none"/>
          <w:lang w:val="en-US" w:eastAsia="zh-CN" w:bidi="ar-SA"/>
        </w:rPr>
      </w:pPr>
    </w:p>
    <w:p w14:paraId="01B0B70F">
      <w:pPr>
        <w:outlineLvl w:val="1"/>
        <w:rPr>
          <w:rFonts w:hint="eastAsia" w:ascii="宋体" w:hAnsi="宋体" w:eastAsia="宋体" w:cs="宋体"/>
          <w:b/>
          <w:color w:val="auto"/>
          <w:sz w:val="32"/>
          <w:szCs w:val="24"/>
          <w:highlight w:val="none"/>
          <w:lang w:val="en-US" w:eastAsia="zh-CN" w:bidi="ar-SA"/>
        </w:rPr>
      </w:pPr>
    </w:p>
    <w:p w14:paraId="4A5EA9CF">
      <w:pPr>
        <w:outlineLvl w:val="1"/>
        <w:rPr>
          <w:rFonts w:hint="eastAsia" w:ascii="宋体" w:hAnsi="宋体" w:eastAsia="宋体" w:cs="宋体"/>
          <w:b/>
          <w:color w:val="auto"/>
          <w:sz w:val="32"/>
          <w:szCs w:val="24"/>
          <w:highlight w:val="none"/>
          <w:lang w:val="en-US" w:eastAsia="zh-CN" w:bidi="ar-SA"/>
        </w:rPr>
      </w:pPr>
    </w:p>
    <w:p w14:paraId="00868CF7">
      <w:pPr>
        <w:outlineLvl w:val="1"/>
        <w:rPr>
          <w:rFonts w:hint="eastAsia" w:ascii="宋体" w:hAnsi="宋体" w:eastAsia="宋体" w:cs="宋体"/>
          <w:b/>
          <w:color w:val="auto"/>
          <w:sz w:val="32"/>
          <w:szCs w:val="24"/>
          <w:highlight w:val="none"/>
          <w:lang w:val="en-US" w:eastAsia="zh-CN" w:bidi="ar-SA"/>
        </w:rPr>
      </w:pPr>
    </w:p>
    <w:p w14:paraId="61B19D3E">
      <w:pPr>
        <w:outlineLvl w:val="1"/>
        <w:rPr>
          <w:rFonts w:hint="eastAsia" w:ascii="宋体" w:hAnsi="宋体" w:eastAsia="宋体" w:cs="宋体"/>
          <w:b/>
          <w:color w:val="auto"/>
          <w:sz w:val="32"/>
          <w:szCs w:val="24"/>
          <w:highlight w:val="none"/>
          <w:lang w:val="en-US" w:eastAsia="zh-CN" w:bidi="ar-SA"/>
        </w:rPr>
      </w:pPr>
    </w:p>
    <w:p w14:paraId="0CC8EAD0">
      <w:pPr>
        <w:outlineLvl w:val="1"/>
        <w:rPr>
          <w:rFonts w:hint="eastAsia" w:ascii="宋体" w:hAnsi="宋体" w:eastAsia="宋体" w:cs="宋体"/>
          <w:b/>
          <w:color w:val="auto"/>
          <w:sz w:val="32"/>
          <w:szCs w:val="24"/>
          <w:highlight w:val="none"/>
          <w:lang w:val="en-US" w:eastAsia="zh-CN" w:bidi="ar-SA"/>
        </w:rPr>
      </w:pPr>
    </w:p>
    <w:p w14:paraId="33581198">
      <w:pPr>
        <w:outlineLvl w:val="1"/>
        <w:rPr>
          <w:rFonts w:hint="eastAsia" w:ascii="宋体" w:hAnsi="宋体" w:eastAsia="宋体" w:cs="宋体"/>
          <w:b/>
          <w:color w:val="auto"/>
          <w:sz w:val="32"/>
          <w:szCs w:val="24"/>
          <w:highlight w:val="none"/>
          <w:lang w:val="en-US" w:eastAsia="zh-CN" w:bidi="ar-SA"/>
        </w:rPr>
      </w:pPr>
    </w:p>
    <w:p w14:paraId="5D9EB06C">
      <w:pPr>
        <w:outlineLvl w:val="1"/>
        <w:rPr>
          <w:rFonts w:hint="eastAsia" w:ascii="宋体" w:hAnsi="宋体" w:eastAsia="宋体" w:cs="宋体"/>
          <w:b/>
          <w:color w:val="auto"/>
          <w:sz w:val="32"/>
          <w:szCs w:val="24"/>
          <w:highlight w:val="none"/>
          <w:lang w:val="en-US" w:eastAsia="zh-CN" w:bidi="ar-SA"/>
        </w:rPr>
      </w:pPr>
    </w:p>
    <w:p w14:paraId="2AFE256C">
      <w:pPr>
        <w:outlineLvl w:val="1"/>
        <w:rPr>
          <w:rFonts w:hint="eastAsia" w:ascii="宋体" w:hAnsi="宋体" w:eastAsia="宋体" w:cs="宋体"/>
          <w:b/>
          <w:color w:val="auto"/>
          <w:sz w:val="32"/>
          <w:szCs w:val="24"/>
          <w:highlight w:val="none"/>
          <w:lang w:val="en-US" w:eastAsia="zh-CN" w:bidi="ar-SA"/>
        </w:rPr>
      </w:pPr>
      <w:r>
        <w:rPr>
          <w:rFonts w:hint="eastAsia" w:ascii="宋体" w:hAnsi="宋体" w:eastAsia="宋体" w:cs="宋体"/>
          <w:b/>
          <w:color w:val="auto"/>
          <w:sz w:val="32"/>
          <w:szCs w:val="24"/>
          <w:highlight w:val="none"/>
          <w:lang w:val="en-US" w:eastAsia="zh-CN" w:bidi="ar-SA"/>
        </w:rPr>
        <w:t>十二、投标所需其他材料</w:t>
      </w:r>
      <w:bookmarkEnd w:id="227"/>
      <w:bookmarkEnd w:id="228"/>
    </w:p>
    <w:p w14:paraId="74BB50EE">
      <w:pPr>
        <w:widowControl w:val="0"/>
        <w:spacing w:line="360" w:lineRule="auto"/>
        <w:ind w:firstLine="56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请在此文档中增加投标所需其他相关内容（包括资格要求、评分办法、采购需求中涉及的证件证明及其它投标人认为有必要提供的资料），如没有请将此空文档上传。</w:t>
      </w:r>
    </w:p>
    <w:p w14:paraId="79A22D2F">
      <w:pP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p>
    <w:p w14:paraId="47EC92AF">
      <w:pPr>
        <w:rPr>
          <w:rFonts w:hint="eastAsia" w:ascii="宋体" w:hAnsi="宋体" w:eastAsia="宋体" w:cs="宋体"/>
          <w:color w:val="auto"/>
          <w:highlight w:val="none"/>
        </w:rPr>
      </w:pPr>
    </w:p>
    <w:p w14:paraId="51BD5FCA">
      <w:pPr>
        <w:rPr>
          <w:rFonts w:hint="eastAsia" w:ascii="宋体" w:hAnsi="宋体" w:eastAsia="宋体" w:cs="宋体"/>
          <w:color w:val="auto"/>
          <w:sz w:val="32"/>
          <w:highlight w:val="none"/>
        </w:rPr>
      </w:pPr>
    </w:p>
    <w:p w14:paraId="69EB3E2A">
      <w:pPr>
        <w:rPr>
          <w:rFonts w:hint="eastAsia" w:ascii="宋体" w:hAnsi="宋体" w:eastAsia="宋体" w:cs="宋体"/>
          <w:color w:val="auto"/>
          <w:sz w:val="32"/>
          <w:highlight w:val="none"/>
        </w:rPr>
      </w:pPr>
    </w:p>
    <w:bookmarkEnd w:id="213"/>
    <w:p w14:paraId="325903FF">
      <w:pPr>
        <w:rPr>
          <w:rFonts w:hint="eastAsia" w:ascii="宋体" w:hAnsi="宋体" w:eastAsia="宋体" w:cs="宋体"/>
          <w:color w:val="auto"/>
          <w:sz w:val="32"/>
          <w:highlight w:val="none"/>
        </w:rPr>
      </w:pPr>
    </w:p>
    <w:p w14:paraId="19CA635B">
      <w:pPr>
        <w:rPr>
          <w:rFonts w:hint="eastAsia" w:ascii="宋体" w:hAnsi="宋体" w:eastAsia="宋体" w:cs="宋体"/>
          <w:color w:val="auto"/>
          <w:sz w:val="32"/>
          <w:highlight w:val="none"/>
        </w:rPr>
      </w:pPr>
    </w:p>
    <w:p w14:paraId="1E6CD71C">
      <w:pPr>
        <w:spacing w:line="480" w:lineRule="auto"/>
        <w:rPr>
          <w:rFonts w:hint="eastAsia" w:ascii="宋体" w:hAnsi="宋体" w:eastAsia="宋体" w:cs="宋体"/>
          <w:color w:val="auto"/>
          <w:sz w:val="24"/>
          <w:highlight w:val="none"/>
        </w:rPr>
      </w:pPr>
    </w:p>
    <w:p w14:paraId="22F90ED1">
      <w:pPr>
        <w:spacing w:line="480" w:lineRule="auto"/>
        <w:rPr>
          <w:rFonts w:hint="eastAsia" w:ascii="宋体" w:hAnsi="宋体" w:eastAsia="宋体" w:cs="宋体"/>
          <w:color w:val="auto"/>
          <w:sz w:val="30"/>
          <w:highlight w:val="none"/>
        </w:rPr>
      </w:pPr>
    </w:p>
    <w:p w14:paraId="43F99D86">
      <w:pPr>
        <w:widowControl w:val="0"/>
        <w:ind w:firstLine="0"/>
        <w:jc w:val="both"/>
        <w:rPr>
          <w:rFonts w:hint="eastAsia" w:ascii="宋体" w:hAnsi="宋体" w:eastAsia="宋体" w:cs="宋体"/>
          <w:color w:val="auto"/>
          <w:sz w:val="24"/>
          <w:szCs w:val="21"/>
          <w:highlight w:val="none"/>
          <w:lang w:val="en-US" w:eastAsia="zh-CN" w:bidi="ar-SA"/>
        </w:rPr>
      </w:pPr>
      <w:bookmarkStart w:id="229" w:name="_Hlt26671374"/>
      <w:bookmarkEnd w:id="229"/>
      <w:bookmarkStart w:id="230" w:name="_Hlt26609389"/>
      <w:bookmarkEnd w:id="230"/>
      <w:bookmarkStart w:id="231" w:name="_Hlt26955066"/>
      <w:bookmarkEnd w:id="231"/>
      <w:bookmarkStart w:id="232" w:name="_Toc462564146"/>
    </w:p>
    <w:p w14:paraId="29D3F6A1">
      <w:pPr>
        <w:rPr>
          <w:rFonts w:hint="eastAsia" w:ascii="宋体" w:hAnsi="宋体" w:eastAsia="宋体" w:cs="宋体"/>
          <w:color w:val="auto"/>
          <w:sz w:val="24"/>
          <w:highlight w:val="none"/>
        </w:rPr>
      </w:pPr>
    </w:p>
    <w:p w14:paraId="22F65A90">
      <w:pPr>
        <w:widowControl w:val="0"/>
        <w:spacing w:line="560" w:lineRule="exact"/>
        <w:ind w:firstLine="480"/>
        <w:rPr>
          <w:rFonts w:hint="eastAsia" w:ascii="宋体" w:hAnsi="宋体" w:eastAsia="宋体" w:cs="宋体"/>
          <w:color w:val="auto"/>
          <w:sz w:val="24"/>
          <w:szCs w:val="32"/>
          <w:highlight w:val="none"/>
          <w:lang w:val="zh-TW" w:eastAsia="zh-CN" w:bidi="ar-SA"/>
        </w:rPr>
      </w:pPr>
    </w:p>
    <w:p w14:paraId="4C06CCED">
      <w:pPr>
        <w:widowControl w:val="0"/>
        <w:spacing w:line="560" w:lineRule="exact"/>
        <w:ind w:firstLine="480"/>
        <w:rPr>
          <w:rFonts w:hint="eastAsia" w:ascii="宋体" w:hAnsi="宋体" w:eastAsia="宋体" w:cs="宋体"/>
          <w:color w:val="auto"/>
          <w:sz w:val="24"/>
          <w:szCs w:val="32"/>
          <w:highlight w:val="none"/>
          <w:lang w:val="zh-TW" w:eastAsia="zh-CN" w:bidi="ar-SA"/>
        </w:rPr>
      </w:pPr>
    </w:p>
    <w:p w14:paraId="2391A798">
      <w:pPr>
        <w:widowControl w:val="0"/>
        <w:spacing w:line="560" w:lineRule="exact"/>
        <w:ind w:firstLine="480"/>
        <w:rPr>
          <w:rFonts w:hint="eastAsia" w:ascii="宋体" w:hAnsi="宋体" w:eastAsia="宋体" w:cs="宋体"/>
          <w:color w:val="auto"/>
          <w:sz w:val="24"/>
          <w:szCs w:val="32"/>
          <w:highlight w:val="none"/>
          <w:lang w:val="zh-TW" w:eastAsia="zh-CN" w:bidi="ar-SA"/>
        </w:rPr>
      </w:pPr>
    </w:p>
    <w:p w14:paraId="3E75D4D1">
      <w:pPr>
        <w:widowControl w:val="0"/>
        <w:spacing w:line="560" w:lineRule="exact"/>
        <w:ind w:firstLine="480"/>
        <w:rPr>
          <w:rFonts w:hint="eastAsia" w:ascii="宋体" w:hAnsi="宋体" w:eastAsia="宋体" w:cs="宋体"/>
          <w:color w:val="auto"/>
          <w:sz w:val="24"/>
          <w:szCs w:val="32"/>
          <w:highlight w:val="none"/>
          <w:lang w:val="zh-TW" w:eastAsia="zh-CN" w:bidi="ar-SA"/>
        </w:rPr>
      </w:pPr>
    </w:p>
    <w:bookmarkEnd w:id="232"/>
    <w:p w14:paraId="495DC516">
      <w:pPr>
        <w:widowControl w:val="0"/>
        <w:spacing w:line="560" w:lineRule="exact"/>
        <w:ind w:firstLine="480"/>
        <w:rPr>
          <w:rFonts w:hint="eastAsia" w:ascii="宋体" w:hAnsi="宋体" w:eastAsia="宋体" w:cs="宋体"/>
          <w:color w:val="auto"/>
          <w:sz w:val="24"/>
          <w:szCs w:val="32"/>
          <w:highlight w:val="none"/>
          <w:lang w:val="zh-TW" w:eastAsia="zh-CN" w:bidi="ar-SA"/>
        </w:rPr>
      </w:pPr>
    </w:p>
    <w:p w14:paraId="56E168C9">
      <w:pPr>
        <w:widowControl w:val="0"/>
        <w:spacing w:line="560" w:lineRule="exact"/>
        <w:ind w:firstLine="480"/>
        <w:rPr>
          <w:rFonts w:hint="eastAsia" w:ascii="宋体" w:hAnsi="宋体" w:eastAsia="宋体" w:cs="宋体"/>
          <w:color w:val="auto"/>
          <w:sz w:val="24"/>
          <w:szCs w:val="32"/>
          <w:highlight w:val="none"/>
          <w:lang w:val="zh-TW" w:eastAsia="zh-CN" w:bidi="ar-SA"/>
        </w:rPr>
      </w:pPr>
    </w:p>
    <w:p w14:paraId="03FC39D5">
      <w:pPr>
        <w:jc w:val="center"/>
        <w:rPr>
          <w:rFonts w:hint="eastAsia" w:ascii="宋体" w:hAnsi="宋体" w:eastAsia="宋体" w:cs="宋体"/>
          <w:b/>
          <w:color w:val="auto"/>
          <w:sz w:val="32"/>
          <w:szCs w:val="32"/>
          <w:highlight w:val="none"/>
        </w:rPr>
      </w:pPr>
      <w:bookmarkStart w:id="233" w:name="_格式2__法定代表人授权书"/>
      <w:bookmarkEnd w:id="233"/>
    </w:p>
    <w:p w14:paraId="36A7B859">
      <w:pPr>
        <w:jc w:val="center"/>
        <w:rPr>
          <w:rFonts w:hint="eastAsia" w:ascii="宋体" w:hAnsi="宋体" w:eastAsia="宋体" w:cs="宋体"/>
          <w:b/>
          <w:color w:val="auto"/>
          <w:sz w:val="32"/>
          <w:szCs w:val="32"/>
          <w:highlight w:val="none"/>
        </w:rPr>
      </w:pPr>
    </w:p>
    <w:p w14:paraId="4DBA6905">
      <w:pPr>
        <w:rPr>
          <w:rFonts w:hint="eastAsia" w:ascii="宋体" w:hAnsi="宋体" w:eastAsia="宋体" w:cs="宋体"/>
          <w:b/>
          <w:color w:val="auto"/>
          <w:sz w:val="32"/>
          <w:szCs w:val="32"/>
          <w:highlight w:val="none"/>
        </w:rPr>
      </w:pPr>
    </w:p>
    <w:p w14:paraId="327D062B">
      <w:pPr>
        <w:rPr>
          <w:rFonts w:hint="eastAsia" w:ascii="宋体" w:hAnsi="宋体" w:eastAsia="宋体" w:cs="宋体"/>
          <w:b/>
          <w:color w:val="auto"/>
          <w:sz w:val="32"/>
          <w:szCs w:val="32"/>
          <w:highlight w:val="none"/>
        </w:rPr>
      </w:pPr>
    </w:p>
    <w:p w14:paraId="081C5755">
      <w:pPr>
        <w:jc w:val="center"/>
        <w:rPr>
          <w:rFonts w:hint="eastAsia" w:ascii="宋体" w:hAnsi="宋体" w:eastAsia="宋体" w:cs="宋体"/>
          <w:b/>
          <w:bCs/>
          <w:color w:val="auto"/>
          <w:sz w:val="32"/>
          <w:szCs w:val="32"/>
          <w:highlight w:val="none"/>
        </w:rPr>
      </w:pPr>
    </w:p>
    <w:p w14:paraId="2BD3E1F5">
      <w:pPr>
        <w:jc w:val="left"/>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Start w:id="234" w:name="_Toc9961"/>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rPr>
        <w:t>、质疑函范本</w:t>
      </w:r>
      <w:bookmarkEnd w:id="234"/>
    </w:p>
    <w:p w14:paraId="5A3E3F65">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质疑函范本</w:t>
      </w:r>
    </w:p>
    <w:p w14:paraId="7AA7B501">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一、质疑投标人基本信息</w:t>
      </w:r>
    </w:p>
    <w:p w14:paraId="3332FED7">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质疑投标人：</w:t>
      </w:r>
      <w:r>
        <w:rPr>
          <w:rFonts w:hint="eastAsia" w:ascii="宋体" w:hAnsi="宋体" w:eastAsia="宋体" w:cs="宋体"/>
          <w:color w:val="auto"/>
          <w:sz w:val="24"/>
          <w:szCs w:val="24"/>
          <w:highlight w:val="none"/>
          <w:u w:val="single"/>
        </w:rPr>
        <w:t xml:space="preserve">                                                              </w:t>
      </w:r>
    </w:p>
    <w:p w14:paraId="7AAADEB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1E96D4C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6663B182">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1C42D0F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64AE5D1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71EBA61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4F5C064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7711600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14098424">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7B9CDC4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single"/>
        </w:rPr>
        <w:t xml:space="preserve">                                                        </w:t>
      </w:r>
    </w:p>
    <w:p w14:paraId="03C646F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69321EEB">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2F6928E4">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7CD0CC0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28225FA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19AA13E7">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16A3907B">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504A438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92E7E1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1612E0D1">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30FCF08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08CB650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2FDA0284">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71306EED">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1.投标人提出质疑时，应提交质疑函和必要的证明材料。</w:t>
      </w:r>
    </w:p>
    <w:p w14:paraId="02ABF007">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11AD131B">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3.质疑投标人若对项目的某一分包进行质疑，质疑函中应列明具体分包号。</w:t>
      </w:r>
    </w:p>
    <w:p w14:paraId="5979E232">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085B4D17">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53FDD2B4">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6.质疑投标人为自然人的，质疑函应由本人签字；质疑投标人为法人或者其他组织的，质疑函应由法定代表人、主要负责人，或者其授权代表签字或者盖章，并加盖公章。</w:t>
      </w:r>
    </w:p>
    <w:p w14:paraId="58B66980">
      <w:pPr>
        <w:pStyle w:val="186"/>
        <w:rPr>
          <w:color w:val="auto"/>
          <w:sz w:val="24"/>
          <w:szCs w:val="24"/>
          <w:highlight w:val="none"/>
        </w:rPr>
      </w:pPr>
    </w:p>
    <w:p w14:paraId="7E22E90C">
      <w:pPr>
        <w:pStyle w:val="186"/>
        <w:rPr>
          <w:color w:val="auto"/>
          <w:sz w:val="24"/>
          <w:szCs w:val="24"/>
          <w:highlight w:val="none"/>
        </w:rPr>
      </w:pPr>
    </w:p>
    <w:sectPr>
      <w:pgSz w:w="11906" w:h="16838"/>
      <w:pgMar w:top="1418" w:right="1588" w:bottom="1418" w:left="1365" w:header="851" w:footer="907" w:gutter="0"/>
      <w:pgBorders>
        <w:top w:val="none" w:sz="0" w:space="0"/>
        <w:left w:val="none" w:sz="0" w:space="0"/>
        <w:bottom w:val="none" w:sz="0" w:space="0"/>
        <w:right w:val="none" w:sz="0" w:space="0"/>
      </w:pgBorders>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Segoe UI">
    <w:panose1 w:val="020B0502040204020203"/>
    <w:charset w:val="00"/>
    <w:family w:val="auto"/>
    <w:pitch w:val="default"/>
    <w:sig w:usb0="E10022FF" w:usb1="C000E47F" w:usb2="00000029" w:usb3="00000000" w:csb0="200001DF" w:csb1="2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B09D1">
    <w:pPr>
      <w:pStyle w:val="229"/>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DDEDAED">
                          <w:pPr>
                            <w:pStyle w:val="229"/>
                            <w:tabs>
                              <w:tab w:val="clear" w:pos="4153"/>
                              <w:tab w:val="clear" w:pos="8306"/>
                            </w:tabs>
                            <w:rPr>
                              <w:rStyle w:val="254"/>
                              <w:rFonts w:ascii="宋体" w:hAnsi="宋体"/>
                            </w:rPr>
                          </w:pPr>
                          <w:r>
                            <w:rPr>
                              <w:rFonts w:ascii="宋体" w:hAnsi="宋体"/>
                            </w:rPr>
                            <w:fldChar w:fldCharType="begin"/>
                          </w:r>
                          <w:r>
                            <w:rPr>
                              <w:rStyle w:val="254"/>
                              <w:rFonts w:ascii="宋体" w:hAnsi="宋体"/>
                            </w:rPr>
                            <w:instrText xml:space="preserve">PAGE  </w:instrText>
                          </w:r>
                          <w:r>
                            <w:rPr>
                              <w:rFonts w:ascii="宋体" w:hAnsi="宋体"/>
                            </w:rPr>
                            <w:fldChar w:fldCharType="separate"/>
                          </w:r>
                          <w:r>
                            <w:rPr>
                              <w:rStyle w:val="254"/>
                              <w:rFonts w:ascii="宋体" w:hAnsi="宋体"/>
                            </w:rPr>
                            <w:t>51</w:t>
                          </w:r>
                          <w:r>
                            <w:rPr>
                              <w:rFonts w:ascii="宋体" w:hAnsi="宋体"/>
                            </w:rPr>
                            <w:fldChar w:fldCharType="end"/>
                          </w:r>
                        </w:p>
                        <w:p w14:paraId="48EDA57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4DDEDAED">
                    <w:pPr>
                      <w:pStyle w:val="229"/>
                      <w:tabs>
                        <w:tab w:val="clear" w:pos="4153"/>
                        <w:tab w:val="clear" w:pos="8306"/>
                      </w:tabs>
                      <w:rPr>
                        <w:rStyle w:val="254"/>
                        <w:rFonts w:ascii="宋体" w:hAnsi="宋体"/>
                      </w:rPr>
                    </w:pPr>
                    <w:r>
                      <w:rPr>
                        <w:rFonts w:ascii="宋体" w:hAnsi="宋体"/>
                      </w:rPr>
                      <w:fldChar w:fldCharType="begin"/>
                    </w:r>
                    <w:r>
                      <w:rPr>
                        <w:rStyle w:val="254"/>
                        <w:rFonts w:ascii="宋体" w:hAnsi="宋体"/>
                      </w:rPr>
                      <w:instrText xml:space="preserve">PAGE  </w:instrText>
                    </w:r>
                    <w:r>
                      <w:rPr>
                        <w:rFonts w:ascii="宋体" w:hAnsi="宋体"/>
                      </w:rPr>
                      <w:fldChar w:fldCharType="separate"/>
                    </w:r>
                    <w:r>
                      <w:rPr>
                        <w:rStyle w:val="254"/>
                        <w:rFonts w:ascii="宋体" w:hAnsi="宋体"/>
                      </w:rPr>
                      <w:t>51</w:t>
                    </w:r>
                    <w:r>
                      <w:rPr>
                        <w:rFonts w:ascii="宋体" w:hAnsi="宋体"/>
                      </w:rPr>
                      <w:fldChar w:fldCharType="end"/>
                    </w:r>
                  </w:p>
                  <w:p w14:paraId="48EDA574"/>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81CB3">
    <w:pPr>
      <w:pStyle w:val="229"/>
      <w:tabs>
        <w:tab w:val="left" w:pos="5031"/>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457A3C1">
                          <w:pPr>
                            <w:pStyle w:val="229"/>
                            <w:tabs>
                              <w:tab w:val="clear" w:pos="4153"/>
                              <w:tab w:val="clear" w:pos="8306"/>
                            </w:tabs>
                          </w:pPr>
                          <w:r>
                            <w:fldChar w:fldCharType="begin"/>
                          </w:r>
                          <w:r>
                            <w:instrText xml:space="preserve"> PAGE  \* MERGEFORMAT </w:instrText>
                          </w:r>
                          <w:r>
                            <w:fldChar w:fldCharType="separate"/>
                          </w:r>
                          <w:r>
                            <w:t>1</w:t>
                          </w:r>
                          <w:r>
                            <w:fldChar w:fldCharType="end"/>
                          </w:r>
                        </w:p>
                        <w:p w14:paraId="3E5B81C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0457A3C1">
                    <w:pPr>
                      <w:pStyle w:val="229"/>
                      <w:tabs>
                        <w:tab w:val="clear" w:pos="4153"/>
                        <w:tab w:val="clear" w:pos="8306"/>
                      </w:tabs>
                    </w:pPr>
                    <w:r>
                      <w:fldChar w:fldCharType="begin"/>
                    </w:r>
                    <w:r>
                      <w:instrText xml:space="preserve"> PAGE  \* MERGEFORMAT </w:instrText>
                    </w:r>
                    <w:r>
                      <w:fldChar w:fldCharType="separate"/>
                    </w:r>
                    <w:r>
                      <w:t>1</w:t>
                    </w:r>
                    <w:r>
                      <w:fldChar w:fldCharType="end"/>
                    </w:r>
                  </w:p>
                  <w:p w14:paraId="3E5B81C2"/>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62168">
    <w:pPr>
      <w:pStyle w:val="2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8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59ADCABA"/>
    <w:multiLevelType w:val="multilevel"/>
    <w:tmpl w:val="59ADCABA"/>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4NWU5NjAzOTVmYzUyMGNjN2QyYTExZDdjNTg2ODcifQ=="/>
  </w:docVars>
  <w:rsids>
    <w:rsidRoot w:val="00982282"/>
    <w:rsid w:val="000C3756"/>
    <w:rsid w:val="001119BF"/>
    <w:rsid w:val="001A2BCB"/>
    <w:rsid w:val="004B3800"/>
    <w:rsid w:val="005F1A51"/>
    <w:rsid w:val="007C30DF"/>
    <w:rsid w:val="00814795"/>
    <w:rsid w:val="009503C7"/>
    <w:rsid w:val="00982282"/>
    <w:rsid w:val="00B30266"/>
    <w:rsid w:val="00B8352E"/>
    <w:rsid w:val="00D40630"/>
    <w:rsid w:val="00E76958"/>
    <w:rsid w:val="00F46D13"/>
    <w:rsid w:val="00FB32EC"/>
    <w:rsid w:val="019F0489"/>
    <w:rsid w:val="01CC1A40"/>
    <w:rsid w:val="02471B7D"/>
    <w:rsid w:val="025D7143"/>
    <w:rsid w:val="039225ED"/>
    <w:rsid w:val="04510922"/>
    <w:rsid w:val="04A42BA5"/>
    <w:rsid w:val="09524F20"/>
    <w:rsid w:val="0A5B5991"/>
    <w:rsid w:val="0A903D02"/>
    <w:rsid w:val="0B941742"/>
    <w:rsid w:val="0B9E10CF"/>
    <w:rsid w:val="0C686809"/>
    <w:rsid w:val="0E9420B4"/>
    <w:rsid w:val="0EDE1004"/>
    <w:rsid w:val="11DD1A47"/>
    <w:rsid w:val="129131F9"/>
    <w:rsid w:val="14A10B0A"/>
    <w:rsid w:val="14A80541"/>
    <w:rsid w:val="163C4F8E"/>
    <w:rsid w:val="19E57F62"/>
    <w:rsid w:val="1B4F3703"/>
    <w:rsid w:val="1EB23219"/>
    <w:rsid w:val="1F772229"/>
    <w:rsid w:val="20FE1EEF"/>
    <w:rsid w:val="23E80503"/>
    <w:rsid w:val="24765B0F"/>
    <w:rsid w:val="254B6FE1"/>
    <w:rsid w:val="255D6BBB"/>
    <w:rsid w:val="284101E2"/>
    <w:rsid w:val="28B4333E"/>
    <w:rsid w:val="29F6324E"/>
    <w:rsid w:val="2A05527B"/>
    <w:rsid w:val="2AC62C21"/>
    <w:rsid w:val="2BD4136D"/>
    <w:rsid w:val="2C251BC9"/>
    <w:rsid w:val="303D5E45"/>
    <w:rsid w:val="309C15FA"/>
    <w:rsid w:val="3127076C"/>
    <w:rsid w:val="317D7134"/>
    <w:rsid w:val="319C292D"/>
    <w:rsid w:val="31C457D0"/>
    <w:rsid w:val="32847649"/>
    <w:rsid w:val="32B111FB"/>
    <w:rsid w:val="33574D5E"/>
    <w:rsid w:val="33A17044"/>
    <w:rsid w:val="34E92F88"/>
    <w:rsid w:val="3550415A"/>
    <w:rsid w:val="355C48AD"/>
    <w:rsid w:val="37922402"/>
    <w:rsid w:val="386121DB"/>
    <w:rsid w:val="389B3C4D"/>
    <w:rsid w:val="39161217"/>
    <w:rsid w:val="39560044"/>
    <w:rsid w:val="396A2F14"/>
    <w:rsid w:val="3A07145F"/>
    <w:rsid w:val="3AB758F2"/>
    <w:rsid w:val="3BB05953"/>
    <w:rsid w:val="3CAF79B9"/>
    <w:rsid w:val="3D4A2558"/>
    <w:rsid w:val="3EC84D62"/>
    <w:rsid w:val="3F19380F"/>
    <w:rsid w:val="3F397A5B"/>
    <w:rsid w:val="40BE6018"/>
    <w:rsid w:val="41C537DA"/>
    <w:rsid w:val="44775260"/>
    <w:rsid w:val="45244CBC"/>
    <w:rsid w:val="456A4DC4"/>
    <w:rsid w:val="462B087B"/>
    <w:rsid w:val="47080E99"/>
    <w:rsid w:val="48BA065B"/>
    <w:rsid w:val="4901254A"/>
    <w:rsid w:val="495E4B1E"/>
    <w:rsid w:val="4B3B68BB"/>
    <w:rsid w:val="4C431ECB"/>
    <w:rsid w:val="4C523EBC"/>
    <w:rsid w:val="4C7B78B7"/>
    <w:rsid w:val="4C9B5537"/>
    <w:rsid w:val="4D3010B2"/>
    <w:rsid w:val="4D360ADE"/>
    <w:rsid w:val="4D5D5F6C"/>
    <w:rsid w:val="4EFA027B"/>
    <w:rsid w:val="4F195165"/>
    <w:rsid w:val="4FA5586C"/>
    <w:rsid w:val="52F50027"/>
    <w:rsid w:val="55794BB0"/>
    <w:rsid w:val="560426CB"/>
    <w:rsid w:val="560C01BB"/>
    <w:rsid w:val="56266685"/>
    <w:rsid w:val="57253A97"/>
    <w:rsid w:val="57FB4C04"/>
    <w:rsid w:val="583F0AAB"/>
    <w:rsid w:val="58EA204C"/>
    <w:rsid w:val="59B61EBB"/>
    <w:rsid w:val="5AA61FA3"/>
    <w:rsid w:val="5B0A0784"/>
    <w:rsid w:val="5C0F5926"/>
    <w:rsid w:val="5C8F6A67"/>
    <w:rsid w:val="5DF94AE0"/>
    <w:rsid w:val="5E7F2433"/>
    <w:rsid w:val="602B6D92"/>
    <w:rsid w:val="61433E01"/>
    <w:rsid w:val="62097899"/>
    <w:rsid w:val="637B25C6"/>
    <w:rsid w:val="65116707"/>
    <w:rsid w:val="665143C1"/>
    <w:rsid w:val="6912299F"/>
    <w:rsid w:val="69777AD4"/>
    <w:rsid w:val="6A7F534A"/>
    <w:rsid w:val="6B9A2D9A"/>
    <w:rsid w:val="6C9A748E"/>
    <w:rsid w:val="6CCB3AEB"/>
    <w:rsid w:val="6D4B109A"/>
    <w:rsid w:val="6D8F2D6B"/>
    <w:rsid w:val="6ED36DCB"/>
    <w:rsid w:val="6F2B66A8"/>
    <w:rsid w:val="6F7E4E45"/>
    <w:rsid w:val="71AF169D"/>
    <w:rsid w:val="72B868C0"/>
    <w:rsid w:val="73730CCD"/>
    <w:rsid w:val="76C93BFC"/>
    <w:rsid w:val="78572995"/>
    <w:rsid w:val="78A02049"/>
    <w:rsid w:val="78D857B0"/>
    <w:rsid w:val="79164340"/>
    <w:rsid w:val="7A957C11"/>
    <w:rsid w:val="7B340AAD"/>
    <w:rsid w:val="7E7056FE"/>
    <w:rsid w:val="7E7739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Plain Text"/>
    <w:basedOn w:val="1"/>
    <w:link w:val="346"/>
    <w:qFormat/>
    <w:uiPriority w:val="99"/>
    <w:rPr>
      <w:rFonts w:ascii="宋体" w:hAnsi="Courier New"/>
      <w:sz w:val="20"/>
    </w:rPr>
  </w:style>
  <w:style w:type="paragraph" w:styleId="16">
    <w:name w:val="toc 8"/>
    <w:basedOn w:val="1"/>
    <w:next w:val="1"/>
    <w:unhideWhenUsed/>
    <w:qFormat/>
    <w:uiPriority w:val="39"/>
    <w:pPr>
      <w:spacing w:after="57"/>
      <w:ind w:left="1984"/>
    </w:pPr>
  </w:style>
  <w:style w:type="paragraph" w:styleId="17">
    <w:name w:val="endnote text"/>
    <w:basedOn w:val="1"/>
    <w:link w:val="181"/>
    <w:semiHidden/>
    <w:unhideWhenUsed/>
    <w:qFormat/>
    <w:uiPriority w:val="99"/>
    <w:rPr>
      <w:sz w:val="20"/>
    </w:rPr>
  </w:style>
  <w:style w:type="paragraph" w:styleId="18">
    <w:name w:val="footer"/>
    <w:basedOn w:val="1"/>
    <w:link w:val="54"/>
    <w:unhideWhenUsed/>
    <w:qFormat/>
    <w:uiPriority w:val="99"/>
    <w:pPr>
      <w:tabs>
        <w:tab w:val="center" w:pos="7143"/>
        <w:tab w:val="right" w:pos="14287"/>
      </w:tabs>
    </w:pPr>
  </w:style>
  <w:style w:type="paragraph" w:styleId="19">
    <w:name w:val="header"/>
    <w:basedOn w:val="1"/>
    <w:link w:val="52"/>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标题 1 Char1"/>
    <w:link w:val="2"/>
    <w:qFormat/>
    <w:uiPriority w:val="9"/>
    <w:rPr>
      <w:rFonts w:ascii="Arial" w:hAnsi="Arial" w:eastAsia="Arial" w:cs="Arial"/>
      <w:sz w:val="40"/>
      <w:szCs w:val="40"/>
    </w:rPr>
  </w:style>
  <w:style w:type="character" w:customStyle="1" w:styleId="36">
    <w:name w:val="标题 2 Char1"/>
    <w:link w:val="3"/>
    <w:qFormat/>
    <w:uiPriority w:val="9"/>
    <w:rPr>
      <w:rFonts w:ascii="Arial" w:hAnsi="Arial" w:eastAsia="Arial" w:cs="Arial"/>
      <w:sz w:val="34"/>
    </w:rPr>
  </w:style>
  <w:style w:type="character" w:customStyle="1" w:styleId="37">
    <w:name w:val="标题 3 Char1"/>
    <w:link w:val="4"/>
    <w:qFormat/>
    <w:uiPriority w:val="9"/>
    <w:rPr>
      <w:rFonts w:ascii="Arial" w:hAnsi="Arial" w:eastAsia="Arial" w:cs="Arial"/>
      <w:sz w:val="30"/>
      <w:szCs w:val="30"/>
    </w:rPr>
  </w:style>
  <w:style w:type="character" w:customStyle="1" w:styleId="38">
    <w:name w:val="标题 4 Char1"/>
    <w:link w:val="5"/>
    <w:qFormat/>
    <w:uiPriority w:val="9"/>
    <w:rPr>
      <w:rFonts w:ascii="Arial" w:hAnsi="Arial" w:eastAsia="Arial" w:cs="Arial"/>
      <w:b/>
      <w:bCs/>
      <w:sz w:val="26"/>
      <w:szCs w:val="26"/>
    </w:rPr>
  </w:style>
  <w:style w:type="character" w:customStyle="1" w:styleId="39">
    <w:name w:val="标题 5 Char1"/>
    <w:link w:val="6"/>
    <w:qFormat/>
    <w:uiPriority w:val="9"/>
    <w:rPr>
      <w:rFonts w:ascii="Arial" w:hAnsi="Arial" w:eastAsia="Arial" w:cs="Arial"/>
      <w:b/>
      <w:bCs/>
      <w:sz w:val="24"/>
      <w:szCs w:val="24"/>
    </w:rPr>
  </w:style>
  <w:style w:type="character" w:customStyle="1" w:styleId="40">
    <w:name w:val="标题 6 Char1"/>
    <w:link w:val="7"/>
    <w:qFormat/>
    <w:uiPriority w:val="9"/>
    <w:rPr>
      <w:rFonts w:ascii="Arial" w:hAnsi="Arial" w:eastAsia="Arial" w:cs="Arial"/>
      <w:b/>
      <w:bCs/>
      <w:sz w:val="22"/>
      <w:szCs w:val="22"/>
    </w:rPr>
  </w:style>
  <w:style w:type="character" w:customStyle="1" w:styleId="41">
    <w:name w:val="标题 7 Char1"/>
    <w:link w:val="8"/>
    <w:qFormat/>
    <w:uiPriority w:val="9"/>
    <w:rPr>
      <w:rFonts w:ascii="Arial" w:hAnsi="Arial" w:eastAsia="Arial" w:cs="Arial"/>
      <w:b/>
      <w:bCs/>
      <w:i/>
      <w:iCs/>
      <w:sz w:val="22"/>
      <w:szCs w:val="22"/>
    </w:rPr>
  </w:style>
  <w:style w:type="character" w:customStyle="1" w:styleId="42">
    <w:name w:val="标题 8 Char1"/>
    <w:link w:val="9"/>
    <w:qFormat/>
    <w:uiPriority w:val="9"/>
    <w:rPr>
      <w:rFonts w:ascii="Arial" w:hAnsi="Arial" w:eastAsia="Arial" w:cs="Arial"/>
      <w:i/>
      <w:iCs/>
      <w:sz w:val="22"/>
      <w:szCs w:val="22"/>
    </w:rPr>
  </w:style>
  <w:style w:type="character" w:customStyle="1" w:styleId="43">
    <w:name w:val="标题 9 Char1"/>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rPr>
      <w:rFonts w:ascii="Times New Roman" w:hAnsi="Times New Roman" w:eastAsia="宋体" w:cs="Times New Roman"/>
      <w:lang w:val="en-US" w:eastAsia="zh-CN" w:bidi="ar-SA"/>
    </w:rPr>
  </w:style>
  <w:style w:type="character" w:customStyle="1" w:styleId="46">
    <w:name w:val="标题 Char"/>
    <w:link w:val="28"/>
    <w:qFormat/>
    <w:uiPriority w:val="10"/>
    <w:rPr>
      <w:sz w:val="48"/>
      <w:szCs w:val="48"/>
    </w:rPr>
  </w:style>
  <w:style w:type="character" w:customStyle="1" w:styleId="47">
    <w:name w:val="副标题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引用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1">
    <w:name w:val="明显引用 Char"/>
    <w:link w:val="50"/>
    <w:qFormat/>
    <w:uiPriority w:val="30"/>
    <w:rPr>
      <w:i/>
    </w:rPr>
  </w:style>
  <w:style w:type="character" w:customStyle="1" w:styleId="52">
    <w:name w:val="页眉 Char1"/>
    <w:link w:val="19"/>
    <w:qFormat/>
    <w:uiPriority w:val="99"/>
  </w:style>
  <w:style w:type="character" w:customStyle="1" w:styleId="53">
    <w:name w:val="Footer Char"/>
    <w:link w:val="18"/>
    <w:qFormat/>
    <w:uiPriority w:val="99"/>
  </w:style>
  <w:style w:type="character" w:customStyle="1" w:styleId="54">
    <w:name w:val="页脚 Char1"/>
    <w:link w:val="18"/>
    <w:qFormat/>
    <w:uiPriority w:val="99"/>
  </w:style>
  <w:style w:type="table" w:customStyle="1" w:styleId="5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脚注文本 Char"/>
    <w:link w:val="23"/>
    <w:qFormat/>
    <w:uiPriority w:val="99"/>
    <w:rPr>
      <w:sz w:val="18"/>
    </w:rPr>
  </w:style>
  <w:style w:type="character" w:customStyle="1" w:styleId="181">
    <w:name w:val="尾注文本 Char"/>
    <w:link w:val="17"/>
    <w:qFormat/>
    <w:uiPriority w:val="99"/>
    <w:rPr>
      <w:sz w:val="20"/>
    </w:rPr>
  </w:style>
  <w:style w:type="paragraph" w:customStyle="1" w:styleId="182">
    <w:name w:val="TOC 标题1"/>
    <w:unhideWhenUsed/>
    <w:qFormat/>
    <w:uiPriority w:val="39"/>
    <w:rPr>
      <w:rFonts w:ascii="Times New Roman" w:hAnsi="Times New Roman" w:eastAsia="宋体" w:cs="Times New Roman"/>
      <w:lang w:val="en-US" w:eastAsia="zh-CN" w:bidi="ar-SA"/>
    </w:rPr>
  </w:style>
  <w:style w:type="paragraph" w:customStyle="1" w:styleId="183">
    <w:name w:val="标题 11"/>
    <w:basedOn w:val="1"/>
    <w:next w:val="1"/>
    <w:link w:val="195"/>
    <w:qFormat/>
    <w:uiPriority w:val="0"/>
    <w:pPr>
      <w:keepNext/>
      <w:jc w:val="center"/>
      <w:outlineLvl w:val="0"/>
    </w:pPr>
    <w:rPr>
      <w:rFonts w:ascii="楷体_GB2312" w:eastAsia="楷体_GB2312"/>
      <w:sz w:val="28"/>
      <w:szCs w:val="28"/>
    </w:rPr>
  </w:style>
  <w:style w:type="paragraph" w:customStyle="1" w:styleId="184">
    <w:name w:val="标题 21"/>
    <w:basedOn w:val="1"/>
    <w:next w:val="1"/>
    <w:link w:val="19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5">
    <w:name w:val="标题 31"/>
    <w:basedOn w:val="1"/>
    <w:next w:val="186"/>
    <w:link w:val="197"/>
    <w:qFormat/>
    <w:uiPriority w:val="0"/>
    <w:pPr>
      <w:keepNext/>
      <w:keepLines/>
      <w:spacing w:before="260" w:after="260" w:line="416" w:lineRule="auto"/>
      <w:outlineLvl w:val="2"/>
    </w:pPr>
    <w:rPr>
      <w:b/>
      <w:bCs/>
      <w:sz w:val="32"/>
      <w:szCs w:val="32"/>
    </w:rPr>
  </w:style>
  <w:style w:type="paragraph" w:customStyle="1" w:styleId="186">
    <w:name w:val="正文缩进1"/>
    <w:basedOn w:val="1"/>
    <w:next w:val="1"/>
    <w:link w:val="198"/>
    <w:qFormat/>
    <w:uiPriority w:val="0"/>
    <w:pPr>
      <w:ind w:firstLine="420"/>
    </w:pPr>
  </w:style>
  <w:style w:type="paragraph" w:customStyle="1" w:styleId="187">
    <w:name w:val="标题 41"/>
    <w:basedOn w:val="1"/>
    <w:next w:val="186"/>
    <w:link w:val="19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8">
    <w:name w:val="标题 51"/>
    <w:basedOn w:val="1"/>
    <w:next w:val="186"/>
    <w:link w:val="200"/>
    <w:qFormat/>
    <w:uiPriority w:val="0"/>
    <w:pPr>
      <w:keepNext/>
      <w:outlineLvl w:val="4"/>
    </w:pPr>
    <w:rPr>
      <w:rFonts w:ascii="宋体"/>
      <w:color w:val="000000"/>
      <w:sz w:val="28"/>
      <w:szCs w:val="28"/>
    </w:rPr>
  </w:style>
  <w:style w:type="paragraph" w:customStyle="1" w:styleId="189">
    <w:name w:val="标题 61"/>
    <w:basedOn w:val="1"/>
    <w:next w:val="1"/>
    <w:link w:val="20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0">
    <w:name w:val="标题 71"/>
    <w:basedOn w:val="1"/>
    <w:next w:val="1"/>
    <w:link w:val="202"/>
    <w:qFormat/>
    <w:uiPriority w:val="0"/>
    <w:pPr>
      <w:keepNext/>
      <w:keepLines/>
      <w:numPr>
        <w:ilvl w:val="6"/>
        <w:numId w:val="1"/>
      </w:numPr>
      <w:spacing w:before="240" w:after="64" w:line="320" w:lineRule="auto"/>
      <w:outlineLvl w:val="6"/>
    </w:pPr>
    <w:rPr>
      <w:b/>
      <w:bCs/>
      <w:sz w:val="24"/>
      <w:szCs w:val="24"/>
    </w:rPr>
  </w:style>
  <w:style w:type="paragraph" w:customStyle="1" w:styleId="191">
    <w:name w:val="标题 81"/>
    <w:basedOn w:val="1"/>
    <w:next w:val="1"/>
    <w:link w:val="20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2">
    <w:name w:val="标题 91"/>
    <w:basedOn w:val="1"/>
    <w:next w:val="1"/>
    <w:link w:val="204"/>
    <w:qFormat/>
    <w:uiPriority w:val="0"/>
    <w:pPr>
      <w:keepNext/>
      <w:keepLines/>
      <w:numPr>
        <w:ilvl w:val="8"/>
        <w:numId w:val="1"/>
      </w:numPr>
      <w:spacing w:before="240" w:after="64" w:line="320" w:lineRule="auto"/>
      <w:outlineLvl w:val="8"/>
    </w:pPr>
    <w:rPr>
      <w:rFonts w:ascii="Arial" w:hAnsi="Arial" w:eastAsia="黑体"/>
    </w:rPr>
  </w:style>
  <w:style w:type="character" w:customStyle="1" w:styleId="193">
    <w:name w:val="默认段落字体1"/>
    <w:unhideWhenUsed/>
    <w:qFormat/>
    <w:uiPriority w:val="1"/>
  </w:style>
  <w:style w:type="table" w:customStyle="1" w:styleId="194">
    <w:name w:val="普通表格1"/>
    <w:unhideWhenUsed/>
    <w:qFormat/>
    <w:uiPriority w:val="99"/>
    <w:tblPr>
      <w:tblCellMar>
        <w:top w:w="0" w:type="dxa"/>
        <w:left w:w="0" w:type="dxa"/>
        <w:bottom w:w="0" w:type="dxa"/>
        <w:right w:w="0" w:type="dxa"/>
      </w:tblCellMar>
    </w:tblPr>
  </w:style>
  <w:style w:type="character" w:customStyle="1" w:styleId="195">
    <w:name w:val="标题 1 Char"/>
    <w:link w:val="183"/>
    <w:qFormat/>
    <w:uiPriority w:val="0"/>
    <w:rPr>
      <w:rFonts w:ascii="楷体_GB2312" w:hAnsi="Times New Roman" w:eastAsia="楷体_GB2312" w:cs="Times New Roman"/>
      <w:sz w:val="28"/>
      <w:szCs w:val="28"/>
    </w:rPr>
  </w:style>
  <w:style w:type="character" w:customStyle="1" w:styleId="196">
    <w:name w:val="标题 2 Char"/>
    <w:link w:val="184"/>
    <w:qFormat/>
    <w:uiPriority w:val="0"/>
    <w:rPr>
      <w:rFonts w:ascii="Arial" w:hAnsi="Arial" w:eastAsia="幼圆" w:cs="Arial"/>
      <w:b/>
      <w:bCs/>
      <w:sz w:val="44"/>
      <w:szCs w:val="44"/>
    </w:rPr>
  </w:style>
  <w:style w:type="character" w:customStyle="1" w:styleId="197">
    <w:name w:val="标题 3 Char"/>
    <w:link w:val="185"/>
    <w:qFormat/>
    <w:uiPriority w:val="0"/>
    <w:rPr>
      <w:rFonts w:ascii="Times New Roman" w:hAnsi="Times New Roman" w:eastAsia="宋体" w:cs="Times New Roman"/>
      <w:b/>
      <w:bCs/>
      <w:sz w:val="32"/>
      <w:szCs w:val="32"/>
    </w:rPr>
  </w:style>
  <w:style w:type="character" w:customStyle="1" w:styleId="198">
    <w:name w:val="正文缩进 Char"/>
    <w:link w:val="186"/>
    <w:qFormat/>
    <w:uiPriority w:val="0"/>
    <w:rPr>
      <w:rFonts w:ascii="Times New Roman" w:hAnsi="Times New Roman" w:eastAsia="宋体" w:cs="Times New Roman"/>
      <w:szCs w:val="21"/>
    </w:rPr>
  </w:style>
  <w:style w:type="character" w:customStyle="1" w:styleId="199">
    <w:name w:val="标题 4 Char"/>
    <w:link w:val="187"/>
    <w:qFormat/>
    <w:uiPriority w:val="0"/>
    <w:rPr>
      <w:rFonts w:ascii="Arial" w:hAnsi="Arial" w:eastAsia="黑体" w:cs="Arial"/>
      <w:b/>
      <w:bCs/>
      <w:sz w:val="28"/>
      <w:szCs w:val="28"/>
    </w:rPr>
  </w:style>
  <w:style w:type="character" w:customStyle="1" w:styleId="200">
    <w:name w:val="标题 5 Char"/>
    <w:link w:val="188"/>
    <w:qFormat/>
    <w:uiPriority w:val="0"/>
    <w:rPr>
      <w:rFonts w:ascii="宋体" w:hAnsi="Times New Roman" w:eastAsia="宋体" w:cs="Times New Roman"/>
      <w:color w:val="000000"/>
      <w:sz w:val="28"/>
      <w:szCs w:val="28"/>
    </w:rPr>
  </w:style>
  <w:style w:type="character" w:customStyle="1" w:styleId="201">
    <w:name w:val="标题 6 Char"/>
    <w:link w:val="189"/>
    <w:qFormat/>
    <w:uiPriority w:val="0"/>
    <w:rPr>
      <w:rFonts w:ascii="Arial" w:hAnsi="Arial" w:eastAsia="黑体" w:cs="Times New Roman"/>
      <w:b/>
      <w:bCs/>
      <w:sz w:val="24"/>
      <w:szCs w:val="24"/>
    </w:rPr>
  </w:style>
  <w:style w:type="character" w:customStyle="1" w:styleId="202">
    <w:name w:val="标题 7 Char"/>
    <w:link w:val="190"/>
    <w:qFormat/>
    <w:uiPriority w:val="0"/>
    <w:rPr>
      <w:rFonts w:ascii="Times New Roman" w:hAnsi="Times New Roman" w:eastAsia="宋体" w:cs="Times New Roman"/>
      <w:b/>
      <w:bCs/>
      <w:sz w:val="24"/>
      <w:szCs w:val="24"/>
    </w:rPr>
  </w:style>
  <w:style w:type="character" w:customStyle="1" w:styleId="203">
    <w:name w:val="标题 8 Char"/>
    <w:link w:val="191"/>
    <w:qFormat/>
    <w:uiPriority w:val="0"/>
    <w:rPr>
      <w:rFonts w:ascii="Arial" w:hAnsi="Arial" w:eastAsia="黑体" w:cs="Times New Roman"/>
      <w:sz w:val="24"/>
      <w:szCs w:val="24"/>
    </w:rPr>
  </w:style>
  <w:style w:type="character" w:customStyle="1" w:styleId="204">
    <w:name w:val="标题 9 Char"/>
    <w:link w:val="192"/>
    <w:qFormat/>
    <w:uiPriority w:val="0"/>
    <w:rPr>
      <w:rFonts w:ascii="Arial" w:hAnsi="Arial" w:eastAsia="黑体" w:cs="Times New Roman"/>
      <w:szCs w:val="21"/>
    </w:rPr>
  </w:style>
  <w:style w:type="paragraph" w:customStyle="1" w:styleId="205">
    <w:name w:val="列表 31"/>
    <w:basedOn w:val="1"/>
    <w:qFormat/>
    <w:uiPriority w:val="0"/>
    <w:pPr>
      <w:ind w:left="100" w:hanging="200"/>
    </w:pPr>
  </w:style>
  <w:style w:type="paragraph" w:customStyle="1" w:styleId="206">
    <w:name w:val="目录 71"/>
    <w:basedOn w:val="1"/>
    <w:next w:val="1"/>
    <w:semiHidden/>
    <w:qFormat/>
    <w:uiPriority w:val="0"/>
    <w:pPr>
      <w:ind w:left="1260"/>
      <w:jc w:val="left"/>
    </w:pPr>
  </w:style>
  <w:style w:type="paragraph" w:customStyle="1" w:styleId="207">
    <w:name w:val="文档结构图1"/>
    <w:basedOn w:val="1"/>
    <w:link w:val="208"/>
    <w:semiHidden/>
    <w:qFormat/>
    <w:uiPriority w:val="0"/>
    <w:pPr>
      <w:shd w:val="clear" w:color="auto" w:fill="000080"/>
    </w:pPr>
  </w:style>
  <w:style w:type="character" w:customStyle="1" w:styleId="208">
    <w:name w:val="文档结构图 Char"/>
    <w:link w:val="207"/>
    <w:semiHidden/>
    <w:qFormat/>
    <w:uiPriority w:val="0"/>
    <w:rPr>
      <w:rFonts w:ascii="Times New Roman" w:hAnsi="Times New Roman" w:eastAsia="宋体" w:cs="Times New Roman"/>
      <w:szCs w:val="21"/>
      <w:shd w:val="clear" w:color="auto" w:fill="000080"/>
    </w:rPr>
  </w:style>
  <w:style w:type="paragraph" w:customStyle="1" w:styleId="209">
    <w:name w:val="批注文字1"/>
    <w:basedOn w:val="1"/>
    <w:link w:val="210"/>
    <w:semiHidden/>
    <w:qFormat/>
    <w:uiPriority w:val="0"/>
    <w:pPr>
      <w:jc w:val="left"/>
    </w:pPr>
  </w:style>
  <w:style w:type="character" w:customStyle="1" w:styleId="210">
    <w:name w:val="批注文字 Char"/>
    <w:link w:val="209"/>
    <w:semiHidden/>
    <w:qFormat/>
    <w:uiPriority w:val="0"/>
    <w:rPr>
      <w:rFonts w:ascii="Times New Roman" w:hAnsi="Times New Roman" w:eastAsia="宋体" w:cs="Times New Roman"/>
      <w:szCs w:val="21"/>
    </w:rPr>
  </w:style>
  <w:style w:type="paragraph" w:customStyle="1" w:styleId="211">
    <w:name w:val="正文文本 31"/>
    <w:basedOn w:val="1"/>
    <w:link w:val="212"/>
    <w:qFormat/>
    <w:uiPriority w:val="0"/>
    <w:rPr>
      <w:rFonts w:ascii="仿宋_GB2312" w:hAnsi="Arial" w:eastAsia="仿宋_GB2312"/>
      <w:sz w:val="32"/>
      <w:szCs w:val="32"/>
    </w:rPr>
  </w:style>
  <w:style w:type="character" w:customStyle="1" w:styleId="212">
    <w:name w:val="正文文本 3 Char"/>
    <w:link w:val="211"/>
    <w:qFormat/>
    <w:uiPriority w:val="0"/>
    <w:rPr>
      <w:rFonts w:ascii="仿宋_GB2312" w:hAnsi="Arial" w:eastAsia="仿宋_GB2312" w:cs="Times New Roman"/>
      <w:sz w:val="32"/>
      <w:szCs w:val="32"/>
    </w:rPr>
  </w:style>
  <w:style w:type="paragraph" w:customStyle="1" w:styleId="213">
    <w:name w:val="正文文本1"/>
    <w:basedOn w:val="1"/>
    <w:link w:val="214"/>
    <w:qFormat/>
    <w:uiPriority w:val="0"/>
    <w:rPr>
      <w:rFonts w:ascii="楷体_GB2312" w:hAnsi="Arial" w:eastAsia="楷体_GB2312"/>
      <w:sz w:val="28"/>
      <w:szCs w:val="28"/>
    </w:rPr>
  </w:style>
  <w:style w:type="character" w:customStyle="1" w:styleId="214">
    <w:name w:val="正文文本 Char"/>
    <w:link w:val="213"/>
    <w:qFormat/>
    <w:uiPriority w:val="0"/>
    <w:rPr>
      <w:rFonts w:ascii="楷体_GB2312" w:hAnsi="Arial" w:eastAsia="楷体_GB2312" w:cs="Times New Roman"/>
      <w:sz w:val="28"/>
      <w:szCs w:val="28"/>
    </w:rPr>
  </w:style>
  <w:style w:type="paragraph" w:customStyle="1" w:styleId="215">
    <w:name w:val="正文文本缩进1"/>
    <w:basedOn w:val="1"/>
    <w:next w:val="1"/>
    <w:link w:val="216"/>
    <w:qFormat/>
    <w:uiPriority w:val="0"/>
    <w:pPr>
      <w:ind w:firstLine="645"/>
    </w:pPr>
    <w:rPr>
      <w:rFonts w:ascii="楷体_GB2312" w:eastAsia="楷体_GB2312"/>
      <w:sz w:val="32"/>
      <w:szCs w:val="32"/>
    </w:rPr>
  </w:style>
  <w:style w:type="character" w:customStyle="1" w:styleId="216">
    <w:name w:val="正文文本缩进 Char"/>
    <w:link w:val="215"/>
    <w:qFormat/>
    <w:uiPriority w:val="0"/>
    <w:rPr>
      <w:rFonts w:ascii="楷体_GB2312" w:hAnsi="Times New Roman" w:eastAsia="楷体_GB2312" w:cs="Times New Roman"/>
      <w:sz w:val="32"/>
      <w:szCs w:val="32"/>
    </w:rPr>
  </w:style>
  <w:style w:type="paragraph" w:customStyle="1" w:styleId="217">
    <w:name w:val="列表 21"/>
    <w:basedOn w:val="1"/>
    <w:qFormat/>
    <w:uiPriority w:val="0"/>
    <w:pPr>
      <w:ind w:left="100" w:hanging="200"/>
    </w:pPr>
  </w:style>
  <w:style w:type="paragraph" w:customStyle="1" w:styleId="218">
    <w:name w:val="目录 51"/>
    <w:basedOn w:val="1"/>
    <w:next w:val="1"/>
    <w:semiHidden/>
    <w:qFormat/>
    <w:uiPriority w:val="0"/>
    <w:pPr>
      <w:ind w:left="840"/>
      <w:jc w:val="left"/>
    </w:pPr>
  </w:style>
  <w:style w:type="paragraph" w:customStyle="1" w:styleId="219">
    <w:name w:val="目录 31"/>
    <w:basedOn w:val="1"/>
    <w:next w:val="1"/>
    <w:semiHidden/>
    <w:qFormat/>
    <w:uiPriority w:val="0"/>
    <w:pPr>
      <w:ind w:left="420"/>
      <w:jc w:val="left"/>
    </w:pPr>
    <w:rPr>
      <w:i/>
      <w:iCs/>
      <w:szCs w:val="24"/>
    </w:rPr>
  </w:style>
  <w:style w:type="paragraph" w:customStyle="1" w:styleId="220">
    <w:name w:val="纯文本1"/>
    <w:basedOn w:val="1"/>
    <w:link w:val="221"/>
    <w:qFormat/>
    <w:uiPriority w:val="0"/>
    <w:rPr>
      <w:rFonts w:ascii="宋体" w:hAnsi="Courier New" w:cs="Courier New"/>
    </w:rPr>
  </w:style>
  <w:style w:type="character" w:customStyle="1" w:styleId="221">
    <w:name w:val="纯文本 Char"/>
    <w:link w:val="220"/>
    <w:qFormat/>
    <w:uiPriority w:val="0"/>
    <w:rPr>
      <w:rFonts w:ascii="宋体" w:hAnsi="Courier New" w:eastAsia="宋体" w:cs="Courier New"/>
      <w:szCs w:val="21"/>
    </w:rPr>
  </w:style>
  <w:style w:type="paragraph" w:customStyle="1" w:styleId="222">
    <w:name w:val="目录 81"/>
    <w:basedOn w:val="1"/>
    <w:next w:val="1"/>
    <w:semiHidden/>
    <w:qFormat/>
    <w:uiPriority w:val="0"/>
    <w:pPr>
      <w:ind w:left="1470"/>
      <w:jc w:val="left"/>
    </w:pPr>
  </w:style>
  <w:style w:type="paragraph" w:customStyle="1" w:styleId="223">
    <w:name w:val="日期1"/>
    <w:basedOn w:val="1"/>
    <w:next w:val="1"/>
    <w:link w:val="224"/>
    <w:qFormat/>
    <w:uiPriority w:val="0"/>
    <w:rPr>
      <w:sz w:val="24"/>
      <w:szCs w:val="24"/>
    </w:rPr>
  </w:style>
  <w:style w:type="character" w:customStyle="1" w:styleId="224">
    <w:name w:val="日期 Char"/>
    <w:link w:val="223"/>
    <w:qFormat/>
    <w:uiPriority w:val="0"/>
    <w:rPr>
      <w:rFonts w:ascii="Times New Roman" w:hAnsi="Times New Roman" w:eastAsia="宋体" w:cs="Times New Roman"/>
      <w:sz w:val="24"/>
      <w:szCs w:val="24"/>
    </w:rPr>
  </w:style>
  <w:style w:type="paragraph" w:customStyle="1" w:styleId="225">
    <w:name w:val="正文文本缩进 21"/>
    <w:basedOn w:val="1"/>
    <w:link w:val="226"/>
    <w:qFormat/>
    <w:uiPriority w:val="0"/>
    <w:pPr>
      <w:ind w:left="630" w:firstLine="645"/>
    </w:pPr>
    <w:rPr>
      <w:rFonts w:ascii="Arial" w:hAnsi="Arial" w:eastAsia="仿宋_GB2312" w:cs="Arial"/>
      <w:sz w:val="32"/>
      <w:szCs w:val="32"/>
    </w:rPr>
  </w:style>
  <w:style w:type="character" w:customStyle="1" w:styleId="226">
    <w:name w:val="正文文本缩进 2 Char"/>
    <w:link w:val="225"/>
    <w:qFormat/>
    <w:uiPriority w:val="0"/>
    <w:rPr>
      <w:rFonts w:ascii="Arial" w:hAnsi="Arial" w:eastAsia="仿宋_GB2312" w:cs="Arial"/>
      <w:sz w:val="32"/>
      <w:szCs w:val="32"/>
    </w:rPr>
  </w:style>
  <w:style w:type="paragraph" w:customStyle="1" w:styleId="227">
    <w:name w:val="批注框文本1"/>
    <w:basedOn w:val="1"/>
    <w:link w:val="228"/>
    <w:semiHidden/>
    <w:qFormat/>
    <w:uiPriority w:val="0"/>
    <w:rPr>
      <w:sz w:val="18"/>
      <w:szCs w:val="18"/>
    </w:rPr>
  </w:style>
  <w:style w:type="character" w:customStyle="1" w:styleId="228">
    <w:name w:val="批注框文本 Char"/>
    <w:link w:val="227"/>
    <w:semiHidden/>
    <w:qFormat/>
    <w:uiPriority w:val="0"/>
    <w:rPr>
      <w:rFonts w:ascii="Times New Roman" w:hAnsi="Times New Roman" w:eastAsia="宋体" w:cs="Times New Roman"/>
      <w:sz w:val="18"/>
      <w:szCs w:val="18"/>
    </w:rPr>
  </w:style>
  <w:style w:type="paragraph" w:customStyle="1" w:styleId="229">
    <w:name w:val="页脚1"/>
    <w:basedOn w:val="1"/>
    <w:link w:val="230"/>
    <w:qFormat/>
    <w:uiPriority w:val="0"/>
    <w:pPr>
      <w:tabs>
        <w:tab w:val="center" w:pos="4153"/>
        <w:tab w:val="right" w:pos="8306"/>
      </w:tabs>
      <w:jc w:val="left"/>
    </w:pPr>
    <w:rPr>
      <w:sz w:val="18"/>
      <w:szCs w:val="18"/>
    </w:rPr>
  </w:style>
  <w:style w:type="character" w:customStyle="1" w:styleId="230">
    <w:name w:val="页脚 Char"/>
    <w:link w:val="229"/>
    <w:qFormat/>
    <w:uiPriority w:val="0"/>
    <w:rPr>
      <w:rFonts w:ascii="Times New Roman" w:hAnsi="Times New Roman" w:eastAsia="宋体" w:cs="Times New Roman"/>
      <w:sz w:val="18"/>
      <w:szCs w:val="18"/>
    </w:rPr>
  </w:style>
  <w:style w:type="paragraph" w:customStyle="1" w:styleId="231">
    <w:name w:val="页眉1"/>
    <w:basedOn w:val="1"/>
    <w:link w:val="232"/>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0"/>
    <w:rPr>
      <w:rFonts w:ascii="Times New Roman" w:hAnsi="Times New Roman" w:eastAsia="宋体" w:cs="Times New Roman"/>
      <w:sz w:val="18"/>
      <w:szCs w:val="18"/>
    </w:rPr>
  </w:style>
  <w:style w:type="paragraph" w:customStyle="1" w:styleId="23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4">
    <w:name w:val="目录 41"/>
    <w:basedOn w:val="1"/>
    <w:next w:val="1"/>
    <w:semiHidden/>
    <w:qFormat/>
    <w:uiPriority w:val="0"/>
    <w:pPr>
      <w:ind w:left="630"/>
      <w:jc w:val="left"/>
    </w:pPr>
  </w:style>
  <w:style w:type="paragraph" w:customStyle="1" w:styleId="235">
    <w:name w:val="列表1"/>
    <w:basedOn w:val="1"/>
    <w:qFormat/>
    <w:uiPriority w:val="0"/>
    <w:pPr>
      <w:ind w:left="200" w:hanging="200"/>
    </w:pPr>
  </w:style>
  <w:style w:type="paragraph" w:customStyle="1" w:styleId="236">
    <w:name w:val="目录 61"/>
    <w:basedOn w:val="1"/>
    <w:next w:val="1"/>
    <w:semiHidden/>
    <w:qFormat/>
    <w:uiPriority w:val="0"/>
    <w:pPr>
      <w:ind w:left="1050"/>
      <w:jc w:val="left"/>
    </w:pPr>
  </w:style>
  <w:style w:type="paragraph" w:customStyle="1" w:styleId="237">
    <w:name w:val="正文文本缩进 31"/>
    <w:basedOn w:val="1"/>
    <w:link w:val="238"/>
    <w:qFormat/>
    <w:uiPriority w:val="0"/>
    <w:pPr>
      <w:ind w:left="645" w:firstLine="645"/>
    </w:pPr>
    <w:rPr>
      <w:rFonts w:ascii="Arial" w:hAnsi="Arial" w:eastAsia="仿宋_GB2312" w:cs="Arial"/>
      <w:color w:val="FFFF00"/>
      <w:sz w:val="32"/>
      <w:szCs w:val="32"/>
    </w:rPr>
  </w:style>
  <w:style w:type="character" w:customStyle="1" w:styleId="238">
    <w:name w:val="正文文本缩进 3 Char"/>
    <w:link w:val="237"/>
    <w:qFormat/>
    <w:uiPriority w:val="0"/>
    <w:rPr>
      <w:rFonts w:ascii="Arial" w:hAnsi="Arial" w:eastAsia="仿宋_GB2312" w:cs="Arial"/>
      <w:color w:val="FFFF00"/>
      <w:sz w:val="32"/>
      <w:szCs w:val="32"/>
    </w:rPr>
  </w:style>
  <w:style w:type="paragraph" w:customStyle="1" w:styleId="239">
    <w:name w:val="图表目录1"/>
    <w:basedOn w:val="1"/>
    <w:next w:val="1"/>
    <w:semiHidden/>
    <w:qFormat/>
    <w:uiPriority w:val="0"/>
    <w:pPr>
      <w:ind w:left="840" w:hanging="420"/>
    </w:pPr>
  </w:style>
  <w:style w:type="paragraph" w:customStyle="1" w:styleId="240">
    <w:name w:val="目录 21"/>
    <w:basedOn w:val="1"/>
    <w:next w:val="1"/>
    <w:semiHidden/>
    <w:qFormat/>
    <w:uiPriority w:val="0"/>
    <w:pPr>
      <w:ind w:left="210"/>
      <w:jc w:val="left"/>
    </w:pPr>
    <w:rPr>
      <w:smallCaps/>
      <w:szCs w:val="24"/>
    </w:rPr>
  </w:style>
  <w:style w:type="paragraph" w:customStyle="1" w:styleId="241">
    <w:name w:val="目录 91"/>
    <w:basedOn w:val="1"/>
    <w:next w:val="1"/>
    <w:semiHidden/>
    <w:qFormat/>
    <w:uiPriority w:val="0"/>
    <w:pPr>
      <w:ind w:left="1680"/>
      <w:jc w:val="left"/>
    </w:pPr>
  </w:style>
  <w:style w:type="paragraph" w:customStyle="1" w:styleId="242">
    <w:name w:val="正文文本 21"/>
    <w:basedOn w:val="1"/>
    <w:link w:val="243"/>
    <w:qFormat/>
    <w:uiPriority w:val="0"/>
    <w:pPr>
      <w:widowControl/>
      <w:jc w:val="center"/>
    </w:pPr>
    <w:rPr>
      <w:rFonts w:ascii="楷体_GB2312" w:eastAsia="楷体_GB2312"/>
      <w:sz w:val="28"/>
      <w:szCs w:val="28"/>
    </w:rPr>
  </w:style>
  <w:style w:type="character" w:customStyle="1" w:styleId="243">
    <w:name w:val="正文文本 2 Char"/>
    <w:link w:val="242"/>
    <w:qFormat/>
    <w:uiPriority w:val="0"/>
    <w:rPr>
      <w:rFonts w:ascii="楷体_GB2312" w:hAnsi="Times New Roman" w:eastAsia="楷体_GB2312" w:cs="Times New Roman"/>
      <w:sz w:val="28"/>
      <w:szCs w:val="28"/>
    </w:rPr>
  </w:style>
  <w:style w:type="paragraph" w:customStyle="1" w:styleId="24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5">
    <w:name w:val="索引 11"/>
    <w:basedOn w:val="1"/>
    <w:next w:val="1"/>
    <w:semiHidden/>
    <w:qFormat/>
    <w:uiPriority w:val="0"/>
    <w:pPr>
      <w:spacing w:line="240" w:lineRule="atLeast"/>
    </w:pPr>
    <w:rPr>
      <w:b/>
      <w:bCs/>
    </w:rPr>
  </w:style>
  <w:style w:type="paragraph" w:customStyle="1" w:styleId="246">
    <w:name w:val="批注主题1"/>
    <w:basedOn w:val="209"/>
    <w:next w:val="209"/>
    <w:link w:val="247"/>
    <w:semiHidden/>
    <w:qFormat/>
    <w:uiPriority w:val="0"/>
    <w:rPr>
      <w:b/>
      <w:bCs/>
    </w:rPr>
  </w:style>
  <w:style w:type="character" w:customStyle="1" w:styleId="247">
    <w:name w:val="批注主题 Char"/>
    <w:link w:val="246"/>
    <w:semiHidden/>
    <w:qFormat/>
    <w:uiPriority w:val="0"/>
    <w:rPr>
      <w:rFonts w:ascii="Times New Roman" w:hAnsi="Times New Roman" w:eastAsia="宋体" w:cs="Times New Roman"/>
      <w:b/>
      <w:bCs/>
      <w:szCs w:val="21"/>
    </w:rPr>
  </w:style>
  <w:style w:type="paragraph" w:customStyle="1" w:styleId="248">
    <w:name w:val="正文首行缩进1"/>
    <w:basedOn w:val="1"/>
    <w:link w:val="249"/>
    <w:qFormat/>
    <w:uiPriority w:val="0"/>
    <w:pPr>
      <w:spacing w:line="360" w:lineRule="auto"/>
      <w:ind w:firstLine="200"/>
    </w:pPr>
    <w:rPr>
      <w:rFonts w:ascii="仿宋_GB2312" w:eastAsia="仿宋_GB2312"/>
      <w:sz w:val="30"/>
      <w:szCs w:val="30"/>
    </w:rPr>
  </w:style>
  <w:style w:type="character" w:customStyle="1" w:styleId="249">
    <w:name w:val="正文首行缩进 Char"/>
    <w:link w:val="248"/>
    <w:qFormat/>
    <w:uiPriority w:val="0"/>
    <w:rPr>
      <w:rFonts w:ascii="仿宋_GB2312" w:hAnsi="Times New Roman" w:eastAsia="仿宋_GB2312" w:cs="Times New Roman"/>
      <w:sz w:val="30"/>
      <w:szCs w:val="30"/>
    </w:rPr>
  </w:style>
  <w:style w:type="paragraph" w:customStyle="1" w:styleId="250">
    <w:name w:val="正文首行缩进 21"/>
    <w:basedOn w:val="215"/>
    <w:link w:val="251"/>
    <w:qFormat/>
    <w:uiPriority w:val="0"/>
    <w:pPr>
      <w:spacing w:line="360" w:lineRule="auto"/>
      <w:ind w:firstLine="420"/>
    </w:pPr>
    <w:rPr>
      <w:rFonts w:ascii="宋体" w:hAnsi="宋体" w:eastAsia="宋体"/>
      <w:sz w:val="21"/>
      <w:szCs w:val="20"/>
    </w:rPr>
  </w:style>
  <w:style w:type="character" w:customStyle="1" w:styleId="251">
    <w:name w:val="正文首行缩进 2 Char"/>
    <w:link w:val="250"/>
    <w:qFormat/>
    <w:uiPriority w:val="0"/>
    <w:rPr>
      <w:rFonts w:ascii="宋体" w:hAnsi="宋体" w:eastAsia="宋体" w:cs="Times New Roman"/>
      <w:sz w:val="32"/>
      <w:szCs w:val="20"/>
    </w:rPr>
  </w:style>
  <w:style w:type="table" w:customStyle="1" w:styleId="252">
    <w:name w:val="网格型1"/>
    <w:basedOn w:val="194"/>
    <w:qFormat/>
    <w:uiPriority w:val="0"/>
    <w:pPr>
      <w:widowControl w:val="0"/>
      <w:jc w:val="both"/>
    </w:pPr>
    <w:tblPr>
      <w:tblCellMar>
        <w:top w:w="0" w:type="dxa"/>
        <w:left w:w="0" w:type="dxa"/>
        <w:bottom w:w="0" w:type="dxa"/>
        <w:right w:w="0" w:type="dxa"/>
      </w:tblCellMar>
    </w:tblPr>
  </w:style>
  <w:style w:type="character" w:customStyle="1" w:styleId="253">
    <w:name w:val="要点1"/>
    <w:qFormat/>
    <w:uiPriority w:val="0"/>
    <w:rPr>
      <w:b/>
      <w:bCs/>
    </w:rPr>
  </w:style>
  <w:style w:type="character" w:customStyle="1" w:styleId="254">
    <w:name w:val="页码1"/>
    <w:qFormat/>
    <w:uiPriority w:val="0"/>
  </w:style>
  <w:style w:type="character" w:customStyle="1" w:styleId="255">
    <w:name w:val="已访问的超链接1"/>
    <w:basedOn w:val="193"/>
    <w:qFormat/>
    <w:uiPriority w:val="0"/>
    <w:rPr>
      <w:color w:val="800080"/>
      <w:u w:val="none"/>
    </w:rPr>
  </w:style>
  <w:style w:type="character" w:customStyle="1" w:styleId="256">
    <w:name w:val="强调1"/>
    <w:basedOn w:val="193"/>
    <w:qFormat/>
    <w:uiPriority w:val="20"/>
    <w:rPr>
      <w:b/>
      <w:bCs/>
    </w:rPr>
  </w:style>
  <w:style w:type="character" w:customStyle="1" w:styleId="257">
    <w:name w:val="HTML 定义1"/>
    <w:basedOn w:val="193"/>
    <w:unhideWhenUsed/>
    <w:qFormat/>
    <w:uiPriority w:val="99"/>
  </w:style>
  <w:style w:type="character" w:customStyle="1" w:styleId="258">
    <w:name w:val="HTML 打字机1"/>
    <w:basedOn w:val="193"/>
    <w:unhideWhenUsed/>
    <w:qFormat/>
    <w:uiPriority w:val="99"/>
    <w:rPr>
      <w:rFonts w:ascii="monospace" w:hAnsi="monospace" w:eastAsia="monospace" w:cs="monospace"/>
      <w:sz w:val="20"/>
    </w:rPr>
  </w:style>
  <w:style w:type="character" w:customStyle="1" w:styleId="259">
    <w:name w:val="HTML 缩写1"/>
    <w:basedOn w:val="193"/>
    <w:unhideWhenUsed/>
    <w:qFormat/>
    <w:uiPriority w:val="99"/>
  </w:style>
  <w:style w:type="character" w:customStyle="1" w:styleId="260">
    <w:name w:val="HTML 变量1"/>
    <w:basedOn w:val="193"/>
    <w:unhideWhenUsed/>
    <w:qFormat/>
    <w:uiPriority w:val="99"/>
  </w:style>
  <w:style w:type="character" w:customStyle="1" w:styleId="261">
    <w:name w:val="超链接1"/>
    <w:basedOn w:val="193"/>
    <w:qFormat/>
    <w:uiPriority w:val="0"/>
    <w:rPr>
      <w:color w:val="0000FF"/>
      <w:u w:val="none"/>
    </w:rPr>
  </w:style>
  <w:style w:type="character" w:customStyle="1" w:styleId="262">
    <w:name w:val="HTML 代码1"/>
    <w:basedOn w:val="193"/>
    <w:unhideWhenUsed/>
    <w:qFormat/>
    <w:uiPriority w:val="99"/>
    <w:rPr>
      <w:rFonts w:ascii="monospace" w:hAnsi="monospace" w:eastAsia="monospace" w:cs="monospace"/>
      <w:sz w:val="20"/>
    </w:rPr>
  </w:style>
  <w:style w:type="character" w:customStyle="1" w:styleId="263">
    <w:name w:val="批注引用1"/>
    <w:semiHidden/>
    <w:qFormat/>
    <w:uiPriority w:val="0"/>
    <w:rPr>
      <w:sz w:val="21"/>
      <w:szCs w:val="21"/>
    </w:rPr>
  </w:style>
  <w:style w:type="character" w:customStyle="1" w:styleId="264">
    <w:name w:val="HTML 引文1"/>
    <w:basedOn w:val="193"/>
    <w:unhideWhenUsed/>
    <w:qFormat/>
    <w:uiPriority w:val="99"/>
  </w:style>
  <w:style w:type="character" w:customStyle="1" w:styleId="265">
    <w:name w:val="HTML 键盘1"/>
    <w:basedOn w:val="193"/>
    <w:unhideWhenUsed/>
    <w:qFormat/>
    <w:uiPriority w:val="99"/>
    <w:rPr>
      <w:rFonts w:ascii="monospace" w:hAnsi="monospace" w:eastAsia="monospace" w:cs="monospace"/>
      <w:sz w:val="20"/>
      <w:shd w:val="clear" w:color="auto" w:fill="FFFFFF"/>
    </w:rPr>
  </w:style>
  <w:style w:type="character" w:customStyle="1" w:styleId="266">
    <w:name w:val="HTML 样本1"/>
    <w:basedOn w:val="193"/>
    <w:unhideWhenUsed/>
    <w:qFormat/>
    <w:uiPriority w:val="99"/>
    <w:rPr>
      <w:rFonts w:ascii="monospace" w:hAnsi="monospace" w:eastAsia="monospace" w:cs="monospace"/>
    </w:rPr>
  </w:style>
  <w:style w:type="paragraph" w:customStyle="1" w:styleId="267">
    <w:name w:val="正文空2字"/>
    <w:basedOn w:val="268"/>
    <w:qFormat/>
    <w:uiPriority w:val="99"/>
    <w:pPr>
      <w:widowControl w:val="0"/>
      <w:spacing w:line="560" w:lineRule="exact"/>
      <w:ind w:firstLine="640"/>
    </w:pPr>
    <w:rPr>
      <w:rFonts w:ascii="仿宋_GB2312" w:hAnsi="仿宋_GB2312" w:cs="仿宋_GB2312"/>
      <w:lang w:val="zh-TW"/>
    </w:rPr>
  </w:style>
  <w:style w:type="paragraph" w:customStyle="1" w:styleId="268">
    <w:name w:val="左对齐正文"/>
    <w:qFormat/>
    <w:uiPriority w:val="99"/>
    <w:rPr>
      <w:rFonts w:ascii="Calibri" w:hAnsi="Calibri" w:eastAsia="仿宋_GB2312" w:cs="Calibri"/>
      <w:sz w:val="32"/>
      <w:szCs w:val="32"/>
      <w:lang w:val="en-US" w:eastAsia="zh-CN" w:bidi="ar-SA"/>
    </w:rPr>
  </w:style>
  <w:style w:type="paragraph" w:customStyle="1" w:styleId="269">
    <w:name w:val="索引 41"/>
    <w:basedOn w:val="1"/>
    <w:next w:val="1"/>
    <w:semiHidden/>
    <w:qFormat/>
    <w:uiPriority w:val="0"/>
    <w:pPr>
      <w:ind w:left="1260"/>
    </w:pPr>
    <w:rPr>
      <w:rFonts w:ascii="Calibri" w:hAnsi="Calibri" w:eastAsia="Calibri" w:cs="宋体"/>
      <w:sz w:val="20"/>
      <w:lang w:val="zh-CN"/>
    </w:rPr>
  </w:style>
  <w:style w:type="character" w:customStyle="1" w:styleId="270">
    <w:name w:val="font5 Char"/>
    <w:qFormat/>
    <w:uiPriority w:val="0"/>
    <w:rPr>
      <w:rFonts w:ascii="宋体" w:hAnsi="宋体" w:eastAsia="宋体"/>
      <w:sz w:val="28"/>
      <w:szCs w:val="28"/>
      <w:lang w:val="en-US" w:eastAsia="zh-CN" w:bidi="ar-SA"/>
    </w:rPr>
  </w:style>
  <w:style w:type="character" w:customStyle="1" w:styleId="271">
    <w:name w:val="二级目录 Char"/>
    <w:link w:val="272"/>
    <w:qFormat/>
    <w:uiPriority w:val="0"/>
    <w:rPr>
      <w:b/>
      <w:sz w:val="30"/>
      <w:szCs w:val="28"/>
    </w:rPr>
  </w:style>
  <w:style w:type="paragraph" w:customStyle="1" w:styleId="272">
    <w:name w:val="二级目录"/>
    <w:next w:val="1"/>
    <w:link w:val="271"/>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73">
    <w:name w:val="列出段落 Char"/>
    <w:link w:val="274"/>
    <w:qFormat/>
    <w:uiPriority w:val="0"/>
    <w:rPr>
      <w:rFonts w:ascii="Calibri" w:hAnsi="Calibri"/>
      <w:sz w:val="24"/>
      <w:szCs w:val="24"/>
      <w:lang w:eastAsia="en-US" w:bidi="en-US"/>
    </w:rPr>
  </w:style>
  <w:style w:type="paragraph" w:customStyle="1" w:styleId="274">
    <w:name w:val="列出段落1"/>
    <w:basedOn w:val="1"/>
    <w:link w:val="273"/>
    <w:qFormat/>
    <w:uiPriority w:val="0"/>
    <w:pPr>
      <w:widowControl/>
      <w:ind w:left="720"/>
      <w:contextualSpacing/>
      <w:jc w:val="left"/>
    </w:pPr>
    <w:rPr>
      <w:rFonts w:ascii="Calibri" w:hAnsi="Calibri"/>
      <w:sz w:val="24"/>
      <w:szCs w:val="24"/>
      <w:lang w:eastAsia="en-US" w:bidi="en-US"/>
    </w:rPr>
  </w:style>
  <w:style w:type="paragraph" w:customStyle="1" w:styleId="275">
    <w:name w:val="Body Text(ch)"/>
    <w:basedOn w:val="1"/>
    <w:next w:val="213"/>
    <w:qFormat/>
    <w:uiPriority w:val="0"/>
    <w:pPr>
      <w:spacing w:after="120"/>
    </w:pPr>
    <w:rPr>
      <w:rFonts w:ascii="宋体" w:hAnsi="Arial"/>
      <w:bCs/>
      <w:iCs/>
      <w:szCs w:val="24"/>
    </w:rPr>
  </w:style>
  <w:style w:type="paragraph" w:customStyle="1" w:styleId="27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8">
    <w:name w:val="Char"/>
    <w:basedOn w:val="1"/>
    <w:qFormat/>
    <w:uiPriority w:val="0"/>
    <w:pPr>
      <w:tabs>
        <w:tab w:val="left" w:pos="360"/>
      </w:tabs>
      <w:ind w:firstLine="200"/>
    </w:pPr>
    <w:rPr>
      <w:sz w:val="28"/>
      <w:szCs w:val="30"/>
    </w:rPr>
  </w:style>
  <w:style w:type="paragraph" w:customStyle="1" w:styleId="279">
    <w:name w:val="Char1"/>
    <w:basedOn w:val="207"/>
    <w:qFormat/>
    <w:uiPriority w:val="0"/>
    <w:rPr>
      <w:rFonts w:ascii="Tahoma" w:hAnsi="Tahoma"/>
      <w:sz w:val="24"/>
      <w:szCs w:val="24"/>
    </w:rPr>
  </w:style>
  <w:style w:type="paragraph" w:customStyle="1" w:styleId="28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1">
    <w:name w:val="table_lines"/>
    <w:basedOn w:val="1"/>
    <w:qFormat/>
    <w:uiPriority w:val="0"/>
    <w:pPr>
      <w:widowControl/>
      <w:jc w:val="left"/>
    </w:pPr>
    <w:rPr>
      <w:sz w:val="20"/>
      <w:szCs w:val="20"/>
      <w:lang w:val="de-DE" w:eastAsia="de-DE"/>
    </w:rPr>
  </w:style>
  <w:style w:type="paragraph" w:customStyle="1" w:styleId="282">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4">
    <w:name w:val="Char Char Char Char"/>
    <w:basedOn w:val="207"/>
    <w:qFormat/>
    <w:uiPriority w:val="0"/>
    <w:pPr>
      <w:spacing w:line="360" w:lineRule="auto"/>
    </w:pPr>
    <w:rPr>
      <w:rFonts w:ascii="Tahoma" w:hAnsi="Tahoma"/>
      <w:sz w:val="24"/>
      <w:szCs w:val="24"/>
    </w:rPr>
  </w:style>
  <w:style w:type="paragraph" w:customStyle="1" w:styleId="285">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86">
    <w:name w:val="4"/>
    <w:basedOn w:val="1"/>
    <w:next w:val="237"/>
    <w:qFormat/>
    <w:uiPriority w:val="0"/>
    <w:pPr>
      <w:spacing w:line="360" w:lineRule="auto"/>
      <w:ind w:firstLine="420"/>
    </w:pPr>
    <w:rPr>
      <w:color w:val="FF0000"/>
      <w:sz w:val="24"/>
      <w:szCs w:val="24"/>
    </w:rPr>
  </w:style>
  <w:style w:type="paragraph" w:customStyle="1" w:styleId="28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8">
    <w:name w:val="Char Char Char Char Char Char Char Char Char Char"/>
    <w:basedOn w:val="1"/>
    <w:qFormat/>
    <w:uiPriority w:val="0"/>
    <w:pPr>
      <w:spacing w:line="360" w:lineRule="auto"/>
    </w:pPr>
    <w:rPr>
      <w:sz w:val="24"/>
      <w:szCs w:val="20"/>
    </w:rPr>
  </w:style>
  <w:style w:type="paragraph" w:customStyle="1" w:styleId="289">
    <w:name w:val="样式1"/>
    <w:basedOn w:val="1"/>
    <w:qFormat/>
    <w:uiPriority w:val="0"/>
    <w:pPr>
      <w:numPr>
        <w:ilvl w:val="0"/>
        <w:numId w:val="3"/>
      </w:numPr>
    </w:pPr>
    <w:rPr>
      <w:rFonts w:ascii="宋体" w:hAnsi="宋体"/>
    </w:rPr>
  </w:style>
  <w:style w:type="paragraph" w:customStyle="1" w:styleId="29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0">
    <w:name w:val="Char Char Char Char1"/>
    <w:basedOn w:val="207"/>
    <w:qFormat/>
    <w:uiPriority w:val="0"/>
    <w:pPr>
      <w:spacing w:line="360" w:lineRule="auto"/>
    </w:pPr>
    <w:rPr>
      <w:rFonts w:ascii="Tahoma" w:hAnsi="Tahoma"/>
      <w:sz w:val="24"/>
      <w:szCs w:val="24"/>
    </w:rPr>
  </w:style>
  <w:style w:type="paragraph" w:customStyle="1" w:styleId="301">
    <w:name w:val="table_1stline"/>
    <w:basedOn w:val="1"/>
    <w:qFormat/>
    <w:uiPriority w:val="0"/>
    <w:pPr>
      <w:widowControl/>
      <w:spacing w:before="120"/>
      <w:jc w:val="left"/>
    </w:pPr>
    <w:rPr>
      <w:bCs/>
      <w:sz w:val="20"/>
      <w:szCs w:val="20"/>
      <w:lang w:val="de-DE" w:eastAsia="de-D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4">
    <w:name w:val="修订1"/>
    <w:semiHidden/>
    <w:qFormat/>
    <w:uiPriority w:val="99"/>
    <w:rPr>
      <w:rFonts w:ascii="Times New Roman" w:hAnsi="Times New Roman" w:eastAsia="宋体" w:cs="Times New Roman"/>
      <w:sz w:val="21"/>
      <w:szCs w:val="21"/>
      <w:lang w:val="en-US" w:eastAsia="zh-CN" w:bidi="ar-SA"/>
    </w:rPr>
  </w:style>
  <w:style w:type="paragraph" w:customStyle="1" w:styleId="305">
    <w:name w:val="无间隔1"/>
    <w:qFormat/>
    <w:uiPriority w:val="99"/>
    <w:pPr>
      <w:widowControl w:val="0"/>
      <w:jc w:val="both"/>
    </w:pPr>
    <w:rPr>
      <w:rFonts w:ascii="Times New Roman" w:hAnsi="Times New Roman" w:eastAsia="宋体" w:cs="Times New Roman"/>
      <w:sz w:val="21"/>
      <w:szCs w:val="21"/>
      <w:lang w:val="en-US" w:eastAsia="zh-CN" w:bidi="ar-SA"/>
    </w:rPr>
  </w:style>
  <w:style w:type="table" w:customStyle="1" w:styleId="306">
    <w:name w:val="Table Normal"/>
    <w:qFormat/>
    <w:uiPriority w:val="0"/>
    <w:tblPr>
      <w:tblCellMar>
        <w:top w:w="0" w:type="dxa"/>
        <w:left w:w="0" w:type="dxa"/>
        <w:bottom w:w="0" w:type="dxa"/>
        <w:right w:w="0" w:type="dxa"/>
      </w:tblCellMar>
    </w:tblPr>
  </w:style>
  <w:style w:type="paragraph" w:customStyle="1" w:styleId="307">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08">
    <w:name w:val="Normal_6_0"/>
    <w:qFormat/>
    <w:uiPriority w:val="0"/>
    <w:rPr>
      <w:rFonts w:ascii="黑体" w:hAnsi="黑体" w:eastAsia="黑体" w:cs="黑体"/>
      <w:b/>
      <w:sz w:val="32"/>
      <w:szCs w:val="24"/>
      <w:lang w:val="en-US" w:eastAsia="zh-CN" w:bidi="ar-SA"/>
    </w:rPr>
  </w:style>
  <w:style w:type="paragraph" w:customStyle="1" w:styleId="309">
    <w:name w:val="Normal_1_2"/>
    <w:qFormat/>
    <w:uiPriority w:val="0"/>
    <w:rPr>
      <w:rFonts w:ascii="Times New Roman" w:hAnsi="Times New Roman" w:eastAsia="Times New Roman" w:cs="Times New Roman"/>
      <w:sz w:val="24"/>
      <w:szCs w:val="24"/>
      <w:lang w:val="en-US" w:eastAsia="zh-CN" w:bidi="ar-SA"/>
    </w:rPr>
  </w:style>
  <w:style w:type="paragraph" w:customStyle="1" w:styleId="310">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311">
    <w:name w:val="正文文本12"/>
    <w:basedOn w:val="1"/>
    <w:qFormat/>
    <w:uiPriority w:val="1"/>
    <w:pPr>
      <w:ind w:left="120"/>
    </w:pPr>
    <w:rPr>
      <w:rFonts w:ascii="宋体" w:hAnsi="宋体" w:cs="宋体"/>
      <w:lang w:val="zh-CN" w:bidi="zh-CN"/>
    </w:rPr>
  </w:style>
  <w:style w:type="paragraph" w:customStyle="1" w:styleId="312">
    <w:name w:val="正文2"/>
    <w:basedOn w:val="1"/>
    <w:qFormat/>
    <w:uiPriority w:val="0"/>
    <w:pPr>
      <w:spacing w:before="156" w:line="360" w:lineRule="auto"/>
      <w:ind w:firstLine="510"/>
    </w:pPr>
    <w:rPr>
      <w:sz w:val="24"/>
      <w:szCs w:val="20"/>
    </w:rPr>
  </w:style>
  <w:style w:type="paragraph" w:customStyle="1" w:styleId="313">
    <w:name w:val="首行缩进"/>
    <w:basedOn w:val="1"/>
    <w:qFormat/>
    <w:uiPriority w:val="0"/>
    <w:pPr>
      <w:ind w:firstLine="480"/>
    </w:pPr>
    <w:rPr>
      <w:lang w:val="zh-CN"/>
    </w:rPr>
  </w:style>
  <w:style w:type="paragraph" w:customStyle="1" w:styleId="314">
    <w:name w:val="Normal_18_0"/>
    <w:qFormat/>
    <w:uiPriority w:val="0"/>
    <w:rPr>
      <w:rFonts w:ascii="黑体" w:hAnsi="黑体" w:eastAsia="黑体" w:cs="黑体"/>
      <w:b/>
      <w:sz w:val="32"/>
      <w:szCs w:val="24"/>
      <w:lang w:val="en-US" w:eastAsia="zh-CN" w:bidi="ar-SA"/>
    </w:rPr>
  </w:style>
  <w:style w:type="paragraph" w:customStyle="1" w:styleId="315">
    <w:name w:val="正文_12_0_0_0_0"/>
    <w:basedOn w:val="1"/>
    <w:qFormat/>
    <w:uiPriority w:val="0"/>
    <w:rPr>
      <w:szCs w:val="24"/>
    </w:rPr>
  </w:style>
  <w:style w:type="paragraph" w:customStyle="1" w:styleId="316">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7">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18">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9">
    <w:name w:val="Normal_20"/>
    <w:qFormat/>
    <w:uiPriority w:val="0"/>
    <w:rPr>
      <w:rFonts w:ascii="黑体" w:hAnsi="黑体" w:eastAsia="黑体" w:cs="黑体"/>
      <w:b/>
      <w:sz w:val="32"/>
      <w:szCs w:val="24"/>
      <w:lang w:val="en-US" w:eastAsia="zh-CN" w:bidi="ar-SA"/>
    </w:rPr>
  </w:style>
  <w:style w:type="paragraph" w:customStyle="1" w:styleId="320">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21">
    <w:name w:val="Normal_0"/>
    <w:qFormat/>
    <w:uiPriority w:val="0"/>
    <w:rPr>
      <w:rFonts w:ascii="黑体" w:hAnsi="黑体" w:eastAsia="黑体" w:cs="Times New Roman"/>
      <w:b/>
      <w:sz w:val="32"/>
      <w:szCs w:val="24"/>
      <w:lang w:val="en-US" w:eastAsia="zh-CN" w:bidi="ar-SA"/>
    </w:rPr>
  </w:style>
  <w:style w:type="paragraph" w:customStyle="1" w:styleId="322">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23">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24">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25">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26">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327">
    <w:name w:val="列出段落_2"/>
    <w:basedOn w:val="325"/>
    <w:qFormat/>
    <w:uiPriority w:val="34"/>
    <w:pPr>
      <w:ind w:firstLine="420"/>
    </w:pPr>
  </w:style>
  <w:style w:type="paragraph" w:customStyle="1" w:styleId="328">
    <w:name w:val="Normal_13_0"/>
    <w:qFormat/>
    <w:uiPriority w:val="0"/>
    <w:rPr>
      <w:rFonts w:ascii="黑体" w:hAnsi="黑体" w:eastAsia="黑体" w:cs="黑体"/>
      <w:b/>
      <w:sz w:val="32"/>
      <w:szCs w:val="24"/>
      <w:lang w:val="en-US" w:eastAsia="zh-CN" w:bidi="ar-SA"/>
    </w:rPr>
  </w:style>
  <w:style w:type="paragraph" w:customStyle="1" w:styleId="329">
    <w:name w:val="正文_16_0_0"/>
    <w:next w:val="330"/>
    <w:qFormat/>
    <w:uiPriority w:val="0"/>
    <w:pPr>
      <w:widowControl w:val="0"/>
      <w:jc w:val="both"/>
    </w:pPr>
    <w:rPr>
      <w:rFonts w:ascii="Calibri" w:hAnsi="Calibri" w:eastAsia="宋体" w:cs="Times New Roman"/>
      <w:sz w:val="21"/>
      <w:szCs w:val="22"/>
      <w:lang w:val="en-US" w:eastAsia="zh-CN" w:bidi="ar-SA"/>
    </w:rPr>
  </w:style>
  <w:style w:type="paragraph" w:customStyle="1" w:styleId="330">
    <w:name w:val="正文1_0"/>
    <w:qFormat/>
    <w:uiPriority w:val="0"/>
    <w:pPr>
      <w:widowControl w:val="0"/>
      <w:jc w:val="both"/>
    </w:pPr>
    <w:rPr>
      <w:rFonts w:ascii="Times New Roman" w:hAnsi="Times New Roman" w:eastAsia="宋体" w:cs="Times New Roman"/>
      <w:szCs w:val="24"/>
      <w:lang w:val="en-US" w:eastAsia="zh-CN" w:bidi="ar-SA"/>
    </w:rPr>
  </w:style>
  <w:style w:type="character" w:customStyle="1" w:styleId="331">
    <w:name w:val="first-child"/>
    <w:basedOn w:val="193"/>
    <w:qFormat/>
    <w:uiPriority w:val="0"/>
  </w:style>
  <w:style w:type="character" w:customStyle="1" w:styleId="332">
    <w:name w:val="glyphicon"/>
    <w:basedOn w:val="193"/>
    <w:qFormat/>
    <w:uiPriority w:val="0"/>
  </w:style>
  <w:style w:type="character" w:customStyle="1" w:styleId="333">
    <w:name w:val="hover5"/>
    <w:basedOn w:val="193"/>
    <w:qFormat/>
    <w:uiPriority w:val="0"/>
    <w:rPr>
      <w:shd w:val="clear" w:color="auto" w:fill="EEEEEE"/>
    </w:rPr>
  </w:style>
  <w:style w:type="character" w:customStyle="1" w:styleId="334">
    <w:name w:val="old"/>
    <w:basedOn w:val="193"/>
    <w:qFormat/>
    <w:uiPriority w:val="0"/>
    <w:rPr>
      <w:color w:val="999999"/>
    </w:rPr>
  </w:style>
  <w:style w:type="character" w:customStyle="1" w:styleId="335">
    <w:name w:val="hour_am"/>
    <w:basedOn w:val="193"/>
    <w:qFormat/>
    <w:uiPriority w:val="0"/>
  </w:style>
  <w:style w:type="character" w:customStyle="1" w:styleId="336">
    <w:name w:val="hour_pm"/>
    <w:basedOn w:val="193"/>
    <w:qFormat/>
    <w:uiPriority w:val="0"/>
  </w:style>
  <w:style w:type="character" w:customStyle="1" w:styleId="337">
    <w:name w:val="layui-layer-tabnow"/>
    <w:basedOn w:val="193"/>
    <w:qFormat/>
    <w:uiPriority w:val="0"/>
    <w:rPr>
      <w:shd w:val="clear" w:color="auto" w:fill="FFFFFF"/>
    </w:rPr>
  </w:style>
  <w:style w:type="character" w:customStyle="1" w:styleId="338">
    <w:name w:val="hover"/>
    <w:basedOn w:val="193"/>
    <w:qFormat/>
    <w:uiPriority w:val="0"/>
    <w:rPr>
      <w:shd w:val="clear" w:color="auto" w:fill="EEEEEE"/>
    </w:rPr>
  </w:style>
  <w:style w:type="paragraph" w:customStyle="1" w:styleId="339">
    <w:name w:val="Normal_19_1"/>
    <w:qFormat/>
    <w:uiPriority w:val="0"/>
    <w:pPr>
      <w:widowControl w:val="0"/>
      <w:jc w:val="both"/>
    </w:pPr>
    <w:rPr>
      <w:rFonts w:ascii="Calibri" w:hAnsi="Calibri" w:eastAsia="宋体" w:cs="Times New Roman"/>
      <w:sz w:val="21"/>
      <w:szCs w:val="24"/>
      <w:lang w:val="en-US" w:eastAsia="zh-CN" w:bidi="ar-SA"/>
    </w:rPr>
  </w:style>
  <w:style w:type="paragraph" w:customStyle="1" w:styleId="340">
    <w:name w:val="正文_3_0_1"/>
    <w:qFormat/>
    <w:uiPriority w:val="0"/>
    <w:pPr>
      <w:widowControl w:val="0"/>
      <w:jc w:val="both"/>
    </w:pPr>
    <w:rPr>
      <w:rFonts w:ascii="Calibri" w:hAnsi="Calibri" w:eastAsia="宋体" w:cs="Times New Roman"/>
      <w:sz w:val="21"/>
      <w:szCs w:val="22"/>
      <w:lang w:val="en-US" w:eastAsia="zh-CN" w:bidi="ar-SA"/>
    </w:rPr>
  </w:style>
  <w:style w:type="paragraph" w:customStyle="1" w:styleId="341">
    <w:name w:val="正文_21"/>
    <w:qFormat/>
    <w:uiPriority w:val="0"/>
    <w:pPr>
      <w:widowControl w:val="0"/>
      <w:jc w:val="both"/>
    </w:pPr>
    <w:rPr>
      <w:rFonts w:ascii="Calibri" w:hAnsi="Calibri" w:eastAsia="宋体" w:cs="Times New Roman"/>
      <w:sz w:val="21"/>
      <w:szCs w:val="22"/>
      <w:lang w:val="en-US" w:eastAsia="zh-CN" w:bidi="ar-SA"/>
    </w:rPr>
  </w:style>
  <w:style w:type="paragraph" w:customStyle="1" w:styleId="342">
    <w:name w:val="Normal_19"/>
    <w:next w:val="343"/>
    <w:qFormat/>
    <w:uiPriority w:val="0"/>
    <w:pPr>
      <w:widowControl w:val="0"/>
      <w:jc w:val="both"/>
    </w:pPr>
    <w:rPr>
      <w:rFonts w:ascii="Calibri" w:hAnsi="Calibri" w:eastAsia="宋体" w:cs="Times New Roman"/>
      <w:sz w:val="21"/>
      <w:szCs w:val="22"/>
      <w:lang w:val="en-US" w:eastAsia="zh-CN" w:bidi="ar-SA"/>
    </w:rPr>
  </w:style>
  <w:style w:type="paragraph" w:customStyle="1" w:styleId="343">
    <w:name w:val="Heading 2_0"/>
    <w:basedOn w:val="342"/>
    <w:next w:val="342"/>
    <w:qFormat/>
    <w:uiPriority w:val="0"/>
    <w:pPr>
      <w:keepNext/>
      <w:keepLines/>
      <w:spacing w:before="260" w:after="260" w:line="413" w:lineRule="auto"/>
      <w:outlineLvl w:val="1"/>
    </w:pPr>
    <w:rPr>
      <w:rFonts w:ascii="Arial" w:hAnsi="Arial" w:eastAsia="黑体"/>
      <w:b/>
      <w:sz w:val="32"/>
      <w:szCs w:val="20"/>
    </w:rPr>
  </w:style>
  <w:style w:type="paragraph" w:customStyle="1" w:styleId="344">
    <w:name w:val="正文_2_0"/>
    <w:qFormat/>
    <w:uiPriority w:val="0"/>
    <w:pPr>
      <w:widowControl w:val="0"/>
      <w:jc w:val="both"/>
    </w:pPr>
    <w:rPr>
      <w:rFonts w:ascii="Calibri" w:hAnsi="Calibri" w:eastAsia="宋体" w:cs="Times New Roman"/>
      <w:sz w:val="21"/>
      <w:szCs w:val="24"/>
      <w:lang w:val="en-US" w:eastAsia="zh-CN" w:bidi="ar-SA"/>
    </w:rPr>
  </w:style>
  <w:style w:type="character" w:customStyle="1" w:styleId="345">
    <w:name w:val="NormalCharacter_0_0"/>
    <w:qFormat/>
    <w:uiPriority w:val="0"/>
    <w:rPr>
      <w:rFonts w:ascii="Calibri" w:hAnsi="Calibri" w:eastAsia="宋体" w:cs="Times New Roman"/>
      <w:sz w:val="21"/>
      <w:szCs w:val="24"/>
      <w:lang w:val="en-US" w:eastAsia="zh-CN" w:bidi="ar-SA"/>
    </w:rPr>
  </w:style>
  <w:style w:type="character" w:customStyle="1" w:styleId="346">
    <w:name w:val="纯文本 Char1"/>
    <w:basedOn w:val="31"/>
    <w:link w:val="15"/>
    <w:qFormat/>
    <w:uiPriority w:val="99"/>
    <w:rPr>
      <w:rFonts w:ascii="宋体" w:hAnsi="Courier New"/>
      <w:szCs w:val="21"/>
    </w:rPr>
  </w:style>
  <w:style w:type="paragraph" w:customStyle="1" w:styleId="347">
    <w:name w:val="正文（缩进）"/>
    <w:basedOn w:val="1"/>
    <w:qFormat/>
    <w:uiPriority w:val="0"/>
    <w:pPr>
      <w:spacing w:before="156" w:after="156"/>
      <w:ind w:firstLine="48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58</Pages>
  <Words>12916</Words>
  <Characters>14077</Characters>
  <Lines>183</Lines>
  <Paragraphs>51</Paragraphs>
  <TotalTime>97</TotalTime>
  <ScaleCrop>false</ScaleCrop>
  <LinksUpToDate>false</LinksUpToDate>
  <CharactersWithSpaces>14206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2025-03-04T07:54:00Z</dcterms:created>
  <dc:creator>赵国</dc:creator>
  <cp:lastModifiedBy>Administrator</cp:lastModifiedBy>
  <dcterms:modified xsi:type="dcterms:W3CDTF">2026-09-15T02:03:38Z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251FD1F11A894625B45BB146A67D1161_13</vt:lpwstr>
  </property>
  <property fmtid="{D5CDD505-2E9C-101B-9397-08002B2CF9AE}" pid="4" name="KSOTemplateDocerSaveRecord">
    <vt:lpwstr>eyJoZGlkIjoiNWE5NzdjMTdhZjhjY2E4NzQzMWIyNjNhYTkwYTc5YTEiLCJ1c2VySWQiOiIxODI3MDgzMjEzIn0=</vt:lpwstr>
  </property>
</Properties>
</file>